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OZORÓCZY ÁKOS 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akos.ozoroczy@gmail.com</w:t>
            </w:r>
            <w:r w:rsidRPr="001067CD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Sebestyén Géza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BCE PSZGJI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Dancsik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főosztályvezető,  Magyar Nemzeti Bank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Kamattranszmisszió Közép-Kelet-Európában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gazdaságpolitika; pénzügyi rendszer; monetáris politika; idősorelemzés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monetáris transzmisszió betéti csatornájával foglalkozik a közép-kelet-európai régió</w:t>
      </w:r>
      <w:r>
        <w:rPr>
          <w:color w:val="000000"/>
          <w:sz w:val="24"/>
          <w:szCs w:val="24"/>
        </w:rPr>
        <w:br/>
        <w:t xml:space="preserve">ban. Az elméleti összefoglaló után összegzi a témával foglalkozó empirikus tanulmányok eredmé</w:t>
      </w:r>
      <w:r>
        <w:rPr>
          <w:color w:val="000000"/>
          <w:sz w:val="24"/>
          <w:szCs w:val="24"/>
        </w:rPr>
        <w:br/>
        <w:t xml:space="preserve">nyeit. Ezután az Európai Központi Bank adatai alapján leíró statisztikával mutatja be Csehország,</w:t>
      </w:r>
      <w:r>
        <w:rPr>
          <w:color w:val="000000"/>
          <w:sz w:val="24"/>
          <w:szCs w:val="24"/>
        </w:rPr>
        <w:br/>
        <w:t xml:space="preserve">Lengyelország, Magyarország, Románia és Szlovákia betéti kamatainak és rövid bankközi kamata</w:t>
      </w:r>
      <w:r>
        <w:rPr>
          <w:color w:val="000000"/>
          <w:sz w:val="24"/>
          <w:szCs w:val="24"/>
        </w:rPr>
        <w:br/>
        <w:t xml:space="preserve">inak kapcsolatát. A dolgozat ökonometriai része hibakorrekciós modellel vizsgálja az elmúlt két</w:t>
      </w:r>
      <w:r>
        <w:rPr>
          <w:color w:val="000000"/>
          <w:sz w:val="24"/>
          <w:szCs w:val="24"/>
        </w:rPr>
        <w:br/>
        <w:t xml:space="preserve">évtized betéti kamattranszmissziójának mértékét és gyorsaságát, arra a következtetésre jutva, hogy</w:t>
      </w:r>
      <w:r>
        <w:rPr>
          <w:color w:val="000000"/>
          <w:sz w:val="24"/>
          <w:szCs w:val="24"/>
        </w:rPr>
        <w:br/>
        <w:t xml:space="preserve">Csehországban a leggyengébb a betéti transzmisszió, a háztartási betétek pedig rendre lassabban és</w:t>
      </w:r>
      <w:r>
        <w:rPr>
          <w:color w:val="000000"/>
          <w:sz w:val="24"/>
          <w:szCs w:val="24"/>
        </w:rPr>
        <w:br/>
        <w:t xml:space="preserve">kevésbé alkalmazkodnak, mint a vállalati betétek. A legtöbb ország legtöbb szegmensében teljes</w:t>
      </w:r>
      <w:r>
        <w:rPr>
          <w:color w:val="000000"/>
          <w:sz w:val="24"/>
          <w:szCs w:val="24"/>
        </w:rPr>
        <w:br/>
        <w:t xml:space="preserve">közeli a hosszútávú alkalmazkodás. A leíró statisztikákban felfedezett kamatkülönbözet és az idő</w:t>
      </w:r>
      <w:r>
        <w:rPr>
          <w:color w:val="000000"/>
          <w:sz w:val="24"/>
          <w:szCs w:val="24"/>
        </w:rPr>
        <w:br/>
        <w:t xml:space="preserve">sorok végének nem kointegráltsága miatt ezután becslést (predikciót) végez a dolgozat szerzője a</w:t>
      </w:r>
      <w:r>
        <w:rPr>
          <w:color w:val="000000"/>
          <w:sz w:val="24"/>
          <w:szCs w:val="24"/>
        </w:rPr>
        <w:br/>
        <w:t xml:space="preserve">2020 után kezdődő kamatemelési ciklusokban a korábbi tapasztalatok alapján várt betéti kamat</w:t>
      </w:r>
      <w:r>
        <w:rPr>
          <w:color w:val="000000"/>
          <w:sz w:val="24"/>
          <w:szCs w:val="24"/>
        </w:rPr>
        <w:br/>
        <w:t xml:space="preserve">szintekre. A historikus adatok alapján a magyar háztartások betétei esetében gyengült a legtöbbet a</w:t>
      </w:r>
      <w:r>
        <w:rPr>
          <w:color w:val="000000"/>
          <w:sz w:val="24"/>
          <w:szCs w:val="24"/>
        </w:rPr>
        <w:br/>
        <w:t xml:space="preserve">transzmisszió, így a dolgozat ennek a jelenségnek néhány lehetséges magyarázatát tárgyalja zárás</w:t>
      </w:r>
      <w:r>
        <w:rPr>
          <w:color w:val="000000"/>
          <w:sz w:val="24"/>
          <w:szCs w:val="24"/>
        </w:rPr>
        <w:br/>
        <w:t xml:space="preserve">ként. A dolgozat hozzájárulása kettős a szakirodalomhoz: egyrészt a koronavírus pandémia után</w:t>
      </w:r>
      <w:r>
        <w:rPr>
          <w:color w:val="000000"/>
          <w:sz w:val="24"/>
          <w:szCs w:val="24"/>
        </w:rPr>
        <w:br/>
        <w:t xml:space="preserve">2021-2022-ben kezdődő kamatemelési ciklusról a szerző tudomása szerint még nem jelent meg se</w:t>
      </w:r>
      <w:r>
        <w:rPr>
          <w:color w:val="000000"/>
          <w:sz w:val="24"/>
          <w:szCs w:val="24"/>
        </w:rPr>
        <w:br/>
        <w:t xml:space="preserve">általában kamattranszmissziót, sem kimondottan betéti kamattranszmissziót vizsgáló tanulmány a</w:t>
      </w:r>
      <w:r>
        <w:rPr>
          <w:color w:val="000000"/>
          <w:sz w:val="24"/>
          <w:szCs w:val="24"/>
        </w:rPr>
        <w:br/>
        <w:t xml:space="preserve">KKE régióra vonatkozóan, ahogy olyanról sincs tudomása, amely ezen dolgozathoz hasonlóan a</w:t>
      </w:r>
      <w:r>
        <w:rPr>
          <w:color w:val="000000"/>
          <w:sz w:val="24"/>
          <w:szCs w:val="24"/>
        </w:rPr>
        <w:br/>
        <w:t xml:space="preserve">korábbi transzmisszió alapján várt (prediktált) kamatszintet hasonlítja össze a tényadatokkal.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800374">
    <w:multiLevelType w:val="hybridMultilevel"/>
    <w:lvl w:ilvl="0" w:tplc="37300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800374">
    <w:abstractNumId w:val="988003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05971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