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ÁKOS ATTILA OZORÓCZY</w:t>
            </w:r>
          </w:p>
          <w:p w:rsidR="00C275A3" w:rsidRDefault="00CA6B74" w:rsidP="00C275A3">
            <w:pPr>
              <w:pStyle w:val="Hallgatokepzes"/>
            </w:pPr>
            <w:r w:rsidRPr="001067CD">
              <w:rPr>
                <w:i/>
              </w:rPr>
              <w:t>akos.ozoroczy@gmail.com</w:t>
            </w:r>
            <w:r w:rsidRPr="001067CD">
              <w:rPr>
                <w:i/>
              </w:rPr>
              <w:br/>
            </w:r>
            <w:r w:rsidR="00A96AEC">
              <w:t>International Business</w:t>
            </w:r>
            <w:r w:rsidR="00A96AEC">
              <w:br/>
            </w:r>
            <w:r w:rsidR="00E77B23">
              <w:t>BSc, 8.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Géza Sebestyén</w:t>
            </w:r>
          </w:p>
          <w:p w:rsidR="00DB4822" w:rsidRDefault="00DB4822" w:rsidP="00BA6BAF">
            <w:pPr>
              <w:pStyle w:val="Konzulensektitulus"/>
            </w:pPr>
            <w:r w:rsidRPr="00DB4822">
              <w:t>associate professor, BCE PSZGJI</w:t>
            </w:r>
          </w:p>
        </w:tc>
      </w:tr>
      <w:tr w:rsidR="00DB4822" w:rsidTr="00DB4822">
        <w:tc>
          <w:tcPr>
            <w:tcW w:w="9854" w:type="dxa"/>
          </w:tcPr>
          <w:p w:rsidR="00DB4822" w:rsidRPr="00DB4822" w:rsidRDefault="00DB4822" w:rsidP="00BA6BAF">
            <w:pPr>
              <w:pStyle w:val="Konzulenseknev"/>
            </w:pPr>
            <w:r w:rsidRPr="00DB4822">
              <w:t>Bálint Dancsik</w:t>
            </w:r>
          </w:p>
          <w:p w:rsidR="00DB4822" w:rsidRDefault="00DB4822" w:rsidP="00BA6BAF">
            <w:pPr>
              <w:pStyle w:val="Konzulensektitulus"/>
            </w:pPr>
            <w:r w:rsidRPr="00DB4822">
              <w:t>Head of Department,  Hungarian National Bank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Interest rate transmission in Central and Eastern Europe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economic policy; financial system; time series analysis; monetary policy</w:t>
      </w:r>
      <w:r>
        <w:t xml:space="preserve"/>
      </w:r>
    </w:p>
    <w:p>
      <w:pPr>
        <w:widowControl w:val="on"/>
        <w:pBdr/>
        <w:spacing w:before="240" w:after="240" w:line="240" w:lineRule="auto"/>
        <w:ind w:left="0" w:right="0"/>
        <w:jc w:val="left"/>
      </w:pPr>
      <w:r>
        <w:rPr>
          <w:color w:val="000000"/>
          <w:sz w:val="24"/>
          <w:szCs w:val="24"/>
        </w:rPr>
        <w:t xml:space="preserve">The paper deals with the deposit channel of monetary transmission in the Central and Eastern European region. After a theoretical summary, it summarizes the results of empirical studies on the topic. It then presents descriptive statistics on the relationship between deposit rates and short-term interbank interest rates in the Czech Republic, Poland, Hungary, Romania and Slovakia, based on data from the European Central Bank. The econometric part of the paper uses an error-correction model to examine the extent and speed of deposit rate transmission over the last two decades, concluding that the Czech Republic has the weakest deposit rate transmission and that household deposits tend to adjust more slowly and less quickly than corporate deposits. Long-term adjustment is very close in most segments in most countries. Due to the interest rate differential discovered in the descriptive statistics and the non-cointegration of the end of the time series, the author then estimates (predicts) the expected deposit rate levels based on past experience in the interest rate hike cycles starting after 2020. Historical data show that Hungarian household deposits have weakened the most, so the paper concludes with some possible explanations for this phenomenon. The contribution of the paper to the literature is twofold: on the one hand, as far as the author is aware, no study on interest rate transmission in general or on deposit interest rate transmission in particular has been published for the CEE region for the interest rate hike cycle starting in 2021-2022 after the coronavirus pandemic, nor is there any study comparing the expected (predicted) level of interest rate transmission with the actual data, as in this paper.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825535">
    <w:multiLevelType w:val="hybridMultilevel"/>
    <w:lvl w:ilvl="0" w:tplc="515746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825535">
    <w:abstractNumId w:val="508255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9704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