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BABCSÁN DÁNIEL</w:t>
            </w:r>
          </w:p>
          <w:p w:rsidR="00C275A3" w:rsidRDefault="00CA6B74" w:rsidP="00C275A3">
            <w:pPr>
              <w:pStyle w:val="Hallgatokepzes"/>
            </w:pPr>
            <w:r w:rsidRPr="001067CD">
              <w:rPr>
                <w:i/>
              </w:rPr>
              <w:t>dani.babcsan@gmail.com</w:t>
            </w:r>
            <w:r w:rsidRPr="001067CD">
              <w:rPr>
                <w:i/>
              </w:rPr>
              <w:br/>
            </w:r>
            <w:r w:rsidR="00A96AEC">
              <w:t>Nemzetközi Kapcsolatok</w:t>
            </w:r>
            <w:r w:rsidR="00A96AEC">
              <w:br/>
            </w:r>
            <w:r w:rsidR="00E77B23">
              <w:t>BA, 6.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Matura Tamás Attila</w:t>
            </w:r>
          </w:p>
          <w:p w:rsidR="00DB4822" w:rsidRDefault="00DB4822" w:rsidP="00BA6BAF">
            <w:pPr>
              <w:pStyle w:val="Konzulensektitulus"/>
            </w:pPr>
            <w:r w:rsidRPr="00DB4822">
              <w:t>egyetemi adjunktus,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Kínai Külpolitika: Az Ambíciók és Geopolitikai Realitások Keresztmetszete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China; United States; Taiwan; Invasion; Capabilities</w:t>
      </w:r>
      <w:r>
        <w:t xml:space="preserve"/>
      </w:r>
    </w:p>
    <w:p>
      <w:pPr>
        <w:widowControl w:val="on"/>
        <w:pBdr/>
        <w:spacing w:before="240" w:after="240" w:line="240" w:lineRule="auto"/>
        <w:ind w:left="0" w:right="0"/>
        <w:jc w:val="left"/>
      </w:pPr>
      <w:r>
        <w:rPr>
          <w:color w:val="000000"/>
          <w:sz w:val="24"/>
          <w:szCs w:val="24"/>
        </w:rPr>
        <w:t xml:space="preserve">With China’s rise and seemingly expanding adversariness with the United States China became one of the focal points of international relations. More importantly, the core of tension is unarguably Taiwan, its status and future, as neither China, nor the US is willing to step aside if push comes to shove over the future of the island. This is not surprising as Taiwan could be a crucial power projection tool for Mainland China, while for the US Taiwan, as a democratic ally, if lost to Mainland China could gravely determine the US’s approval and undermine its geopolitical position.</w:t>
      </w:r>
    </w:p>
    <w:p>
      <w:pPr>
        <w:widowControl w:val="on"/>
        <w:pBdr/>
        <w:spacing w:before="240" w:after="240" w:line="240" w:lineRule="auto"/>
        <w:ind w:left="0" w:right="0"/>
        <w:jc w:val="left"/>
      </w:pPr>
      <w:r>
        <w:rPr>
          <w:color w:val="000000"/>
          <w:sz w:val="24"/>
          <w:szCs w:val="24"/>
        </w:rPr>
        <w:br/>
        <w:t xml:space="preserve">In this endeavour the paper applies qualitative methodology, simply synthesising a priori findings based on policy documents, academic literature and empirical data available to outline Chinese capabilities and anchors in exploring the possibility of an invasion against Taiwan. Assessing Chinese domestic politics, assertive nationalism and the Chinese Communist Party’s narrative based on the historical inevitability of unification can become both unwanted facilitators in the eve of economic downturn and leaves virtually no room for compromise. Economically, China’s internal vulnerability based on high-debt growth model, huge energy demand and dependency, and the economic exposure and fallout from a conflict over Taiwan could disrupt global trade unforeseeably. In terms of China’s military capabilities, in many domains the People’s Liberation Army can rival the United States and is under constant modernisation that shall not be downplayed. However, China still faces logistical challenges and growing US commitment to defend Taiwan.</w:t>
      </w:r>
    </w:p>
    <w:p>
      <w:pPr>
        <w:widowControl w:val="on"/>
        <w:pBdr/>
        <w:spacing w:before="240" w:after="240" w:line="240" w:lineRule="auto"/>
        <w:ind w:left="0" w:right="0"/>
        <w:jc w:val="left"/>
      </w:pPr>
      <w:r>
        <w:rPr>
          <w:color w:val="000000"/>
          <w:sz w:val="24"/>
          <w:szCs w:val="24"/>
        </w:rPr>
        <w:br/>
        <w:t xml:space="preserve">The paper finds that China’s domestic and foreign policy sets out rejuvenation with Taiwan as a given under Xi Jinping’s leadership forming both part of his legacy and the communist party’s legitimacy. However, the economic interconnectedness that enabled China’s rise in the first place poses as a deterrent due to economic fallout, even though it is second rate compared to rejuvenation on the long run. China’s military might is getting there with the clear goal of challenging and surpassing US presence at least in the South China Sea with the ultimate goal being reunification with Taiwan, yet considering the economic fallout of an invasion, Chinese logistical shortcomings and the US’s military capabilities and alliance system a Chinese invasion against Taiwan seems irrational and unlikely in the coming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47648">
    <w:multiLevelType w:val="hybridMultilevel"/>
    <w:lvl w:ilvl="0" w:tplc="86394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47648">
    <w:abstractNumId w:val="65347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108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