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TAKACS</w:t>
            </w:r>
          </w:p>
          <w:p w:rsidR="00C275A3" w:rsidRDefault="00CA6B74" w:rsidP="00C275A3">
            <w:pPr>
              <w:pStyle w:val="Hallgatokepzes"/>
            </w:pPr>
            <w:r w:rsidRPr="001067CD">
              <w:rPr>
                <w:i/>
              </w:rPr>
              <w:t>t.anna0109@gmail.com</w:t>
            </w:r>
            <w:r w:rsidRPr="001067CD">
              <w:rPr>
                <w:i/>
              </w:rPr>
              <w:br/>
            </w:r>
            <w:r w:rsidR="00A96AEC">
              <w:t>International Economy and Business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BÁLINT JÓZSEF VÉGH</w:t>
            </w:r>
          </w:p>
          <w:p w:rsidR="00DB4822" w:rsidRDefault="00CA6B74" w:rsidP="004D7940">
            <w:pPr>
              <w:pStyle w:val="Hallgatokepzes"/>
            </w:pPr>
            <w:r w:rsidRPr="001067CD">
              <w:rPr>
                <w:i/>
              </w:rPr>
              <w:t>vegh.oct@gmail.com</w:t>
            </w:r>
            <w:bookmarkStart w:id="1" w:name="_GoBack"/>
            <w:bookmarkEnd w:id="1"/>
            <w:r w:rsidRPr="001067CD">
              <w:br/>
            </w:r>
            <w:r w:rsidR="00C275A3">
              <w:t>Economics and Financial Mathematical Analysis</w:t>
            </w:r>
            <w:r w:rsidR="00A96AEC">
              <w:br/>
              <w:t>Unified,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Madari</w:t>
            </w:r>
          </w:p>
          <w:p w:rsidR="00DB4822" w:rsidRDefault="00DB4822" w:rsidP="00BA6BAF">
            <w:pPr>
              <w:pStyle w:val="Konzulensektitulus"/>
            </w:pPr>
            <w:r w:rsidRPr="00DB4822">
              <w:t>Assistant lecturer,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 was not their ideas but their money that defeated us’ –Spatial econometric analysis of the Hungarian Parliamentary Elections in 2022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parliamentary elections; spatial econometrics; party preferences</w:t>
      </w:r>
      <w:r>
        <w:t xml:space="preserve"/>
      </w:r>
    </w:p>
    <w:p>
      <w:pPr>
        <w:widowControl w:val="on"/>
        <w:pBdr/>
        <w:spacing w:before="240" w:after="240" w:line="240" w:lineRule="auto"/>
        <w:ind w:left="0" w:right="0"/>
        <w:jc w:val="left"/>
      </w:pPr>
      <w:r>
        <w:rPr>
          <w:color w:val="000000"/>
          <w:sz w:val="24"/>
          <w:szCs w:val="24"/>
        </w:rPr>
        <w:t xml:space="preserve">In the relatively young democracies of Hungary (and more broadly, the Central and Eastern European region), the question of what factors determine election outcomes has been a recurring issue since the regime change. This discourse has gained particular relevance due to the turbulent political and social changes of recent years: in 2022, Hungary's governing party began its fifth consecutive term, a development that has resonated strongly both in Hungarian public discourse and international commentary. In our study, we examine the results of the 2022 parliamentary elections at the municipal level in Hungary using a spatial regression model. Our research seeks to answer whether the per capita amount of state and European Union funds flowing into individual municipalities between 2018 and 2021 contributed to the governing party's level of support. Our initial hypothesis was that the amount of funding, alongside relevant demographic, administrative, and welfare variables, has a significant impact on parliamentary election outcomes. We tested this assumption using a spatial cross-sectional econometric model and ultimately rejected our hypothesis.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86629">
    <w:multiLevelType w:val="hybridMultilevel"/>
    <w:lvl w:ilvl="0" w:tplc="33415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86629">
    <w:abstractNumId w:val="574866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831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