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VIDA BENJÁMIN ÁRON</w:t>
            </w:r>
          </w:p>
          <w:p w:rsidR="00C275A3" w:rsidRDefault="00CA6B74" w:rsidP="00C275A3">
            <w:pPr>
              <w:pStyle w:val="Hallgatokepzes"/>
            </w:pPr>
            <w:r w:rsidRPr="001067CD">
              <w:rPr>
                <w:i/>
              </w:rPr>
              <w:t>vida.benjamin.aron@gmail.com</w:t>
            </w:r>
            <w:r w:rsidRPr="001067CD">
              <w:rPr>
                <w:i/>
              </w:rPr>
              <w:br/>
            </w:r>
            <w:r w:rsidR="00A96AEC">
              <w:t>Nemzetközi Tanulmányok</w:t>
            </w:r>
            <w:r w:rsidR="00A96AEC">
              <w:br/>
            </w:r>
            <w:r w:rsidR="00E77B23">
              <w:t>BA, 6. félév</w:t>
            </w:r>
          </w:p>
          <w:p w:rsidR="00C265CE" w:rsidRPr="009E5FF1" w:rsidRDefault="00E77B23" w:rsidP="00BA6BAF">
            <w:pPr>
              <w:pStyle w:val="Hallgatointezmeny-kar"/>
              <w:rPr>
                <w:b/>
                <w:caps/>
              </w:rPr>
            </w:pPr>
            <w:r>
              <w:t>Budapesti Corvinus Egyetem</w:t>
            </w:r>
            <w:r w:rsidR="00C275A3">
              <w:br/>
            </w:r>
            <w:r w:rsidR="00DB4822">
              <w:t>Társadalomtudományi TDK</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Sz. Biró Zoltán</w:t>
            </w:r>
          </w:p>
          <w:p w:rsidR="00DB4822" w:rsidRDefault="00DB4822" w:rsidP="00BA6BAF">
            <w:pPr>
              <w:pStyle w:val="Konzulensektitulus"/>
            </w:pPr>
            <w:r w:rsidRPr="00DB4822">
              <w:t>mesteroktató, BCE 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Putyin kontra NGO-k – A nem kormányzati szervezetek biztonságiasításának esete Oroszországban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biztonságiasítás; Oroszország; nem kormányzati szervezet; diskurzuselemzés; Vlagyimir Putyin</w:t>
      </w:r>
      <w:r>
        <w:t xml:space="preserve"/>
      </w:r>
    </w:p>
    <w:p>
      <w:pPr>
        <w:widowControl w:val="on"/>
        <w:pBdr/>
        <w:spacing w:before="240" w:after="240" w:line="240" w:lineRule="auto"/>
        <w:ind w:left="0" w:right="0"/>
        <w:jc w:val="left"/>
      </w:pPr>
      <w:r>
        <w:rPr>
          <w:color w:val="000000"/>
          <w:sz w:val="24"/>
          <w:szCs w:val="24"/>
        </w:rPr>
        <w:t xml:space="preserve">Magyarul:</w:t>
      </w:r>
    </w:p>
    <w:p>
      <w:pPr>
        <w:widowControl w:val="on"/>
        <w:pBdr/>
        <w:spacing w:before="240" w:after="240" w:line="240" w:lineRule="auto"/>
        <w:ind w:left="0" w:right="0"/>
        <w:jc w:val="left"/>
      </w:pPr>
      <w:r>
        <w:rPr>
          <w:color w:val="000000"/>
          <w:sz w:val="24"/>
          <w:szCs w:val="24"/>
        </w:rPr>
        <w:t xml:space="preserve">Jelen dolgozat célja megvizsgálni, hogy miért korlátozza a nem kormányzati szervezetek működését az orosz kormányzat az Oroszországi Föderációban. Ehhez a kutatás a koppenhágai iskola biztonságiasítás elméletének keretrendszerét használja. A dolgozat a 2007–2020 közötti időszak Vlagyimir Putyin beszédeinek elemzésén keresztül vizsgálja a biztonságiasítási folyamat mozgatórugóit, a tanulmány tehát kvalitatív diskurzuselemzést alkalmaz módszertanául. A kutatás arra az eredményre jut, hogy az orosz kormányzat belső legitimitását, rezsimbiztonságát fenyegető külső befolyás indokolja a biztonságiasító lépést, mert a külföldről finanszírozott civil szervezetek kockázatot jelentenek a putyini rendszer számára. Ennek kapcsán az írás azt a következtetést vonja le, hogy a külföldi befolyás eszközei a külföldről finanszírozott nem kormányzati szervezetek, amelyek a hatalom narratívájában destruktív tevékenységet végeznek és fenyegetik az orosz állam szuverenitását, ezért szükséges a szabályozásukat célzó represszív intézkedések foganatosítása. A hatalom narratívájának következményeképp a biztonságiasító lépés formális támogatást nyert, amely a 2012-ben és a 2015-ben elfogadott „idegen ügynök”, illetve „nemkívánatos” szervezetekről szóló törvénymódosításokban manifesztálódik.</w:t>
      </w: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br/>
        <w:t xml:space="preserve">Angolul:</w:t>
      </w:r>
    </w:p>
    <w:p>
      <w:pPr>
        <w:widowControl w:val="on"/>
        <w:pBdr/>
        <w:spacing w:before="240" w:after="240" w:line="240" w:lineRule="auto"/>
        <w:ind w:left="0" w:right="0"/>
        <w:jc w:val="left"/>
      </w:pPr>
      <w:r>
        <w:rPr>
          <w:color w:val="000000"/>
          <w:sz w:val="24"/>
          <w:szCs w:val="24"/>
        </w:rPr>
        <w:t xml:space="preserve">The aim of this paper is to examine why the Russian government restricts the activities of NGOs in the Russian Federation. To do this, the study uses the framework of the Copenhagen School’s theory of securitization. The study examines the drivers of the securitization process through an analysis of Vladimir Putin's speeches from 2007 to 2020, and thus employs qualitative discourse analysis as a methodology. The research concludes that external influences threatening the internal legitimacy and regime security of the Russian government justify the securitizing move, because foreign-funded NGOs pose a risk to Putin’s regime. In this context, the paper concludes that foreign influence is exerted by foreign-funded NGOs, which are destructive to the narrative of the Russian government and threaten the sovereignty of the Russian state, therefore repressive regulatory measures are necessary. As a consequence of the narrative of the Russian regime, the securitizing move has gained formal support, manifested in the amendments to the laws on foreign agents and undesirable organisations adopted in 2012 and 2015.</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911389">
    <w:multiLevelType w:val="hybridMultilevel"/>
    <w:lvl w:ilvl="0" w:tplc="726870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911389">
    <w:abstractNumId w:val="5091138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8946823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