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KERTÉSZ</w:t>
            </w:r>
          </w:p>
          <w:p w:rsidR="00C275A3" w:rsidRDefault="00CA6B74" w:rsidP="00C275A3">
            <w:pPr>
              <w:pStyle w:val="Hallgatokepzes"/>
            </w:pPr>
            <w:r w:rsidRPr="001067CD">
              <w:rPr>
                <w:i/>
              </w:rPr>
              <w:t>kertesz.bence.official@gmail.com</w:t>
            </w:r>
            <w:r w:rsidRPr="001067CD">
              <w:rPr>
                <w:i/>
              </w:rPr>
              <w:br/>
            </w:r>
            <w:r w:rsidR="00A96AEC">
              <w:t>International relations</w:t>
            </w:r>
            <w:r w:rsidR="00A96AEC">
              <w:br/>
            </w:r>
            <w:r w:rsidR="00E77B23">
              <w:t>BA,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Gálik</w:t>
            </w:r>
          </w:p>
          <w:p w:rsidR="00DB4822" w:rsidRDefault="00DB4822" w:rsidP="00BA6BAF">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dual-use (space) technologies on strategic strike capabilities, global security policy, and non-proliferation initiatives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dual-use space technology; rocket technology; strategic striking capability; non-proliferation; security policy</w:t>
      </w:r>
      <w:r>
        <w:t xml:space="preserve"/>
      </w:r>
    </w:p>
    <w:p>
      <w:pPr>
        <w:widowControl w:val="on"/>
        <w:pBdr/>
        <w:spacing w:before="240" w:after="240" w:line="240" w:lineRule="auto"/>
        <w:ind w:left="0" w:right="0"/>
        <w:jc w:val="left"/>
      </w:pPr>
      <w:r>
        <w:rPr>
          <w:color w:val="000000"/>
          <w:sz w:val="24"/>
          <w:szCs w:val="24"/>
        </w:rPr>
        <w:t xml:space="preserve">The research addresses an interdisciplinary problem that has been left out from the scientific and strategic focus, despite its key impact on the state of current global security. The aim of the research is to discover and reveal the effect of dual-use space technologies – especially the intertwining civilian and military rocket technology – on the strategic striking capabilities, global security and non-proliferation initiatives.</w:t>
      </w:r>
    </w:p>
    <w:p>
      <w:pPr>
        <w:widowControl w:val="on"/>
        <w:pBdr/>
        <w:spacing w:before="240" w:after="240" w:line="240" w:lineRule="auto"/>
        <w:ind w:left="0" w:right="0"/>
        <w:jc w:val="left"/>
      </w:pPr>
      <w:r>
        <w:rPr>
          <w:color w:val="000000"/>
          <w:sz w:val="24"/>
          <w:szCs w:val="24"/>
        </w:rPr>
        <w:br/>
        <w:t xml:space="preserve">To discover the answer to this complex research question, an interdisciplinary method was applied by unifying the perspectives of law, (military) technology, (military) history, and security policy. First, the overview of historical and technological background proved the intertwinement of civilian and military rocket technology. After that, the legal framework regulating civilian space launch vehicles and long-range military missiles became summarised, pointing to its deficiencies and the exigency for reform.</w:t>
      </w:r>
    </w:p>
    <w:p>
      <w:pPr>
        <w:widowControl w:val="on"/>
        <w:pBdr/>
        <w:spacing w:before="240" w:after="240" w:line="240" w:lineRule="auto"/>
        <w:ind w:left="0" w:right="0"/>
        <w:jc w:val="left"/>
      </w:pPr>
      <w:r>
        <w:rPr>
          <w:color w:val="000000"/>
          <w:sz w:val="24"/>
          <w:szCs w:val="24"/>
        </w:rPr>
        <w:br/>
        <w:t xml:space="preserve">The main part of the research consists of the analysis of ten countries being the most remarkable in terms of strategic striking and mass-destruction capabilities. The strategic striking capabilities were summarised by countries, and their relationship with dual-use space technologies was analysed through inductive methodology case studies, demonstrating each aspect of the issue of dual-use rocket technology. With the same methods, the rising influence and role of the private sector was examined, revealing the potential risk of private possession of dual-use technologies. Beyond that, a special method was used as well by creating hypothetical scenarios based on historical and military technology data, this way demonstrating the possibility, risk and effects of using civilian space launch vehicles for military application thus creating strategic striking capabilities.</w:t>
      </w:r>
    </w:p>
    <w:p>
      <w:pPr>
        <w:widowControl w:val="on"/>
        <w:pBdr/>
        <w:spacing w:before="240" w:after="240" w:line="240" w:lineRule="auto"/>
        <w:ind w:left="0" w:right="0"/>
        <w:jc w:val="left"/>
      </w:pPr>
      <w:r>
        <w:rPr>
          <w:color w:val="000000"/>
          <w:sz w:val="24"/>
          <w:szCs w:val="24"/>
        </w:rPr>
        <w:br/>
        <w:t xml:space="preserve">The research has proven the hypothesis that dual-use space technologies are contributing significantly to the proliferation of strategic striking capabilities among both state and non-state actors. It was achieved to unravel this complex issue with scientific analysis, being previously out of the sight of strategies, despite the fact, that due to the deficiency of legal framework and the rising influence of private sector, it becomes an enlarging security threat. This research would like to establish a core basis for further research and strategy creation addressing the issue.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16529">
    <w:multiLevelType w:val="hybridMultilevel"/>
    <w:lvl w:ilvl="0" w:tplc="43183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16529">
    <w:abstractNumId w:val="45416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537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