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MARCELL KISS</w:t>
            </w:r>
          </w:p>
          <w:p w:rsidR="00C275A3" w:rsidRDefault="00CA6B74" w:rsidP="00C275A3">
            <w:pPr>
              <w:pStyle w:val="Hallgatokepzes"/>
            </w:pPr>
            <w:r w:rsidRPr="001067CD">
              <w:rPr>
                <w:i/>
              </w:rPr>
              <w:t>kissmarci00@gmail.com</w:t>
            </w:r>
            <w:r w:rsidRPr="001067CD">
              <w:rPr>
                <w:i/>
              </w:rPr>
              <w:br/>
            </w:r>
            <w:r w:rsidR="00A96AEC">
              <w:t>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professor,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MONETARY POLICY MODELLING IN EAST-CENTRAL EUROPE USING SHADOW SHORT RATE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policy, Shadow Short Rate, Central Eastern Europe, Monetary transmission, VAR</w:t>
      </w:r>
      <w:r>
        <w:t xml:space="preserve"/>
      </w:r>
    </w:p>
    <w:p>
      <w:pPr>
        <w:widowControl w:val="on"/>
        <w:pBdr/>
        <w:spacing w:before="240" w:after="240" w:line="240" w:lineRule="auto"/>
        <w:ind w:left="0" w:right="0"/>
        <w:jc w:val="left"/>
      </w:pPr>
      <w:r>
        <w:rPr>
          <w:color w:val="000000"/>
          <w:sz w:val="24"/>
          <w:szCs w:val="24"/>
        </w:rPr>
        <w:t xml:space="preserve">The aim of this paper is to provide an estimate of the short shadow interest rate (SSR) for Hungary, Poland and the Czech Republic and to examine whether the SSR time series is suitable for monetary policy analysis in these countries. The SSR is a common tool for monetary policy modelling as it can measure the change in monetary policy stance in a low interest rate environment, even when unconventional instruments are in use. To the best of my knowledge, my paper is the first in the literature to investigate the applicability of SSR in Central and Eastern European countries. I estimate the shadow interest rate as suggested by Wu &amp; Xia (2016) and test the performance of SSR in simple monetary VAR models. I find that SSR is able to reflect the impact of the main unconventional policies, for Hungary and the Czech Republic it can be used well as a continuation of the base rate in the unconventional period, but compared to the base rate, SSR is not able to improve the forecasting of main macroeconomic variables. When assessing the impact of unconventional policies, I find that the MNB's policy after 2016 was able to reduce the unemployment rate on a sustained basis, but contributed to the weakening of the forint.</w:t>
      </w:r>
    </w:p>
    <w:p>
      <w:pPr>
        <w:widowControl w:val="on"/>
        <w:pBdr/>
        <w:spacing w:before="240" w:after="240" w:line="240" w:lineRule="auto"/>
        <w:ind w:left="0" w:right="0"/>
        <w:jc w:val="left"/>
      </w:pPr>
      <w:r>
        <w:rPr>
          <w:color w:val="000000"/>
          <w:sz w:val="24"/>
          <w:szCs w:val="24"/>
        </w:rPr>
        <w:t xml:space="preserve">JEL classification: C32, E52, E58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62414">
    <w:multiLevelType w:val="hybridMultilevel"/>
    <w:lvl w:ilvl="0" w:tplc="66532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62414">
    <w:abstractNumId w:val="39762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085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