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LAZAR</w:t>
            </w:r>
          </w:p>
          <w:p w:rsidR="00C275A3" w:rsidRDefault="00CA6B74" w:rsidP="00C275A3">
            <w:pPr>
              <w:pStyle w:val="Hallgatokepzes"/>
            </w:pPr>
            <w:r w:rsidRPr="001067CD">
              <w:rPr>
                <w:i/>
              </w:rPr>
              <w:t>viktor.lazar99@gmail.com</w:t>
            </w:r>
            <w:r w:rsidRPr="001067CD">
              <w:rPr>
                <w:i/>
              </w:rPr>
              <w:br/>
            </w:r>
            <w:r w:rsidR="00A96AEC">
              <w:t>Economics and Financial Mathematical Analysis</w:t>
            </w:r>
            <w:r w:rsidR="00A96AEC">
              <w:br/>
            </w:r>
            <w:r w:rsidR="00E77B23">
              <w:t>Unified, 10.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Milan Csaba Badics</w:t>
            </w:r>
          </w:p>
          <w:p w:rsidR="00DB4822" w:rsidRDefault="00DB4822" w:rsidP="00BA6BAF">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Methods for Pairs Trading Risk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algorithmic trading, cointegration, geometric Brownian motion, Monte Carlo simulation, sensitivity testing</w:t>
      </w:r>
      <w:r>
        <w:t xml:space="preserve"/>
      </w:r>
    </w:p>
    <w:p>
      <w:pPr>
        <w:widowControl w:val="on"/>
        <w:pBdr/>
        <w:spacing w:before="240" w:after="240" w:line="240" w:lineRule="auto"/>
        <w:ind w:left="0" w:right="0"/>
        <w:jc w:val="left"/>
      </w:pPr>
      <w:r>
        <w:rPr>
          <w:color w:val="000000"/>
          <w:sz w:val="24"/>
          <w:szCs w:val="24"/>
        </w:rPr>
        <w:t xml:space="preserve">As algorithmic trading has been emerging in recent decades, which could be even more amplified with the rapid spread of artificial intelligence, new risk management methods could appear with bolstered importance. However, recent literature focuses largely on the profitability of algorithmic trading on empirical data while the importance of risk assessment in a realistic simulated environment is not in the centre of attention.</w:t>
      </w:r>
    </w:p>
    <w:p>
      <w:pPr>
        <w:widowControl w:val="on"/>
        <w:pBdr/>
        <w:spacing w:before="240" w:after="240" w:line="240" w:lineRule="auto"/>
        <w:ind w:left="0" w:right="0"/>
        <w:jc w:val="left"/>
      </w:pPr>
      <w:r>
        <w:rPr>
          <w:color w:val="000000"/>
          <w:sz w:val="24"/>
          <w:szCs w:val="24"/>
        </w:rPr>
        <w:t xml:space="preserve">This research builds a scenario risk analytics framework for pairs trading strategies, a type of algorithmic trading strategy, to fill this gap in the literature. 15 stocks are simulated utilizing financial mathematical methods combining the geometric Brownian motion for stock prices with the Ornstein-Uhlenbeck process for mean-reverting cointegration of stock prices with multiple pairwise relationship levels.</w:t>
      </w:r>
    </w:p>
    <w:p>
      <w:pPr>
        <w:widowControl w:val="on"/>
        <w:pBdr/>
        <w:spacing w:before="240" w:after="240" w:line="240" w:lineRule="auto"/>
        <w:ind w:left="0" w:right="0"/>
        <w:jc w:val="left"/>
      </w:pPr>
      <w:r>
        <w:rPr>
          <w:color w:val="000000"/>
          <w:sz w:val="24"/>
          <w:szCs w:val="24"/>
        </w:rPr>
        <w:t xml:space="preserve">While there are various methods for pairs trading strategies, this research is limited to the simple distance, the Engle-Granger cointegration and the Johansen cointegration methods, which are often in the literature’s spotlight. The trade opens and exits are executed based on predefined parameters in line with the literature. All three strategies are evaluated based on annualized returns and risk metrics including but not limited to the value at risk and the Calmar ratio. The return and risk performances are also evaluated in four risk scenarios in the trading period: lower cointegration, loss of cointegration, lower return in a stock of the pair and higher stock pair spread volatility. The results are assessed through Monte Carlo simulations at various confidence levels.</w:t>
      </w:r>
    </w:p>
    <w:p>
      <w:pPr>
        <w:widowControl w:val="on"/>
        <w:pBdr/>
        <w:spacing w:before="240" w:after="240" w:line="240" w:lineRule="auto"/>
        <w:ind w:left="0" w:right="0"/>
        <w:jc w:val="left"/>
      </w:pPr>
      <w:r>
        <w:rPr>
          <w:color w:val="000000"/>
          <w:sz w:val="24"/>
          <w:szCs w:val="24"/>
        </w:rPr>
        <w:t xml:space="preserve">The results indicate that there are only slight return and risk performance differences between the three strategies in the base and the stressed scenarios, rejecting the 1st hypothesis of the simple distance method’s inferiority. All the four analysed risk scenarios impact the return and risk metrics of the trading strategies negatively, confirming the 2nd hypothesis. The loss of cointegration risk scenario has the largest impact on the profitability and risk metrics, which confirms the 3rd hypothesis. These findings suggest that algorithmic traders could utilize the proposed risk assessment framework for evaluating and communicating risks to investors, regulators and other stakeholders to gain trust. The implementation of a risk management framework may lead to more assets under management in algorithmic trading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83443">
    <w:multiLevelType w:val="hybridMultilevel"/>
    <w:lvl w:ilvl="0" w:tplc="23465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83443">
    <w:abstractNumId w:val="95483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17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