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TILL</w:t>
            </w:r>
          </w:p>
          <w:p w:rsidR="00C275A3" w:rsidRDefault="00CA6B74" w:rsidP="00C275A3">
            <w:pPr>
              <w:pStyle w:val="Hallgatokepzes"/>
            </w:pPr>
            <w:r w:rsidRPr="001067CD">
              <w:rPr>
                <w:i/>
              </w:rPr>
              <w:t>gabort.255@gmail.com</w:t>
            </w:r>
            <w:r w:rsidRPr="001067CD">
              <w:rPr>
                <w:i/>
              </w:rPr>
              <w:br/>
            </w:r>
            <w:r w:rsidR="00A96AEC">
              <w:t>Finance</w:t>
            </w:r>
            <w:r w:rsidR="00A96AEC">
              <w:br/>
            </w:r>
            <w:r w:rsidR="00E77B23">
              <w:t>MSc, 4.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Milan Csaba Badics Phd</w:t>
            </w:r>
          </w:p>
          <w:p w:rsidR="00DB4822" w:rsidRDefault="00DB4822" w:rsidP="00BA6BAF">
            <w:pPr>
              <w:pStyle w:val="Konzulensektitulus"/>
            </w:pPr>
            <w:r w:rsidRPr="00DB4822">
              <w:t>Assistant Lecturer, BCE PSZGJI</w:t>
            </w:r>
          </w:p>
        </w:tc>
      </w:tr>
      <w:tr w:rsidR="00DB4822" w:rsidTr="00DB4822">
        <w:tc>
          <w:tcPr>
            <w:tcW w:w="9854" w:type="dxa"/>
          </w:tcPr>
          <w:p w:rsidR="00DB4822" w:rsidRPr="00DB4822" w:rsidRDefault="00DB4822" w:rsidP="00BA6BAF">
            <w:pPr>
              <w:pStyle w:val="Konzulenseknev"/>
            </w:pPr>
            <w:r w:rsidRPr="00DB4822">
              <w:t>Gábor Neszveda Phd</w:t>
            </w:r>
          </w:p>
          <w:p w:rsidR="00DB4822" w:rsidRDefault="00DB4822" w:rsidP="00BA6BAF">
            <w:pPr>
              <w:pStyle w:val="Konzulensektitulus"/>
            </w:pPr>
            <w:r w:rsidRPr="00DB4822">
              <w:t>Head of department at the National Bank of Hungary,  Head of department at the National Bank of Hungary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Sustainability Considerations in the World of Investments: International Sectoral Comparison of ESG Factor Portfolios’ Performance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Stock returns, ESG, Univariate sorting, Abnormal return, Sustainability</w:t>
      </w:r>
      <w:r>
        <w:t xml:space="preserve"/>
      </w:r>
    </w:p>
    <w:p>
      <w:pPr>
        <w:widowControl w:val="on"/>
        <w:pBdr/>
        <w:spacing w:before="240" w:after="240" w:line="240" w:lineRule="auto"/>
        <w:ind w:left="0" w:right="0"/>
        <w:jc w:val="left"/>
      </w:pPr>
      <w:r>
        <w:rPr>
          <w:color w:val="000000"/>
          <w:sz w:val="24"/>
          <w:szCs w:val="24"/>
        </w:rPr>
        <w:t xml:space="preserve">This research contributes to the factor model literature by investigating whether companies with high environmental (E), social (S), and governance (G) ratings deliver significantly abnormal returns compared to firms with lower ESG scores. The analysis utilizes a stock-level panel dataset and applies a univariate sorting methodology to evaluate the performance of a High Minus Low (HML) trading strategy, accounting for structural breaks and various control variables.</w:t>
      </w:r>
    </w:p>
    <w:p>
      <w:pPr>
        <w:widowControl w:val="on"/>
        <w:pBdr/>
        <w:spacing w:before="240" w:after="240" w:line="240" w:lineRule="auto"/>
        <w:ind w:left="0" w:right="0"/>
        <w:jc w:val="left"/>
      </w:pPr>
      <w:r>
        <w:rPr>
          <w:color w:val="000000"/>
          <w:sz w:val="24"/>
          <w:szCs w:val="24"/>
        </w:rPr>
        <w:t xml:space="preserve">The study examines stocks traded on the New York Stock Exchange, London Stock Exchange, and Deutsche Börse, seeking to identify temporal and sector-specific patterns in the effectiveness of green investment strategies. Additionally, a focused analysis is conducted on sustainable investment performance within the energy, financial, utility, food, industrial, healthcare, and technology sectors.</w:t>
      </w:r>
    </w:p>
    <w:p>
      <w:pPr>
        <w:widowControl w:val="on"/>
        <w:pBdr/>
        <w:spacing w:before="240" w:after="240" w:line="240" w:lineRule="auto"/>
        <w:ind w:left="0" w:right="0"/>
        <w:jc w:val="left"/>
      </w:pPr>
      <w:r>
        <w:rPr>
          <w:color w:val="000000"/>
          <w:sz w:val="24"/>
          <w:szCs w:val="24"/>
        </w:rPr>
        <w:t xml:space="preserve">To ensure the robustness of the findings, the research employs Fama-MacBeth monthly rolling regressions at the stock level, incorporating factors from the Fama-French three-factor model. The results indicate a slightly negative relationship between corporate sustainability initiatives and expected returns.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608498">
    <w:multiLevelType w:val="hybridMultilevel"/>
    <w:lvl w:ilvl="0" w:tplc="149887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608498">
    <w:abstractNumId w:val="5860849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96049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