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BARNABÁS TIMÁR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tbarna119@gmail.com</w:t>
            </w:r>
            <w:r w:rsidRPr="001067CD">
              <w:rPr>
                <w:i/>
              </w:rPr>
              <w:br/>
            </w:r>
            <w:r w:rsidR="00A96AEC">
              <w:t>Finance</w:t>
            </w:r>
            <w:r w:rsidR="00A96AEC">
              <w:br/>
            </w:r>
            <w:r w:rsidR="00E77B23">
              <w:t>MSc, 4.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Milán Csaba Badics 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lecturer, BCE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Gábor Neszveda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NJE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role of ESG in investments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ESG; Risk-adjusted performance; Banking; Energy; Investment strategies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my study I test the effect of the ESG score incorporation into investments in the banking and</w:t>
      </w:r>
      <w:r>
        <w:rPr>
          <w:color w:val="000000"/>
          <w:sz w:val="24"/>
          <w:szCs w:val="24"/>
        </w:rPr>
        <w:br/>
        <w:t xml:space="preserve">energy sector through the most common ESG investing styles. I test these investment strategies</w:t>
      </w:r>
      <w:r>
        <w:rPr>
          <w:color w:val="000000"/>
          <w:sz w:val="24"/>
          <w:szCs w:val="24"/>
        </w:rPr>
        <w:br/>
        <w:t xml:space="preserve">through a portfolio approach and also use the Fama-MacBeth regression simultaneously.</w:t>
      </w:r>
      <w:r>
        <w:rPr>
          <w:color w:val="000000"/>
          <w:sz w:val="24"/>
          <w:szCs w:val="24"/>
        </w:rPr>
        <w:br/>
        <w:t xml:space="preserve">Therefore, compelling a more comprehensive analysis. To better account for investor needs, I</w:t>
      </w:r>
      <w:r>
        <w:rPr>
          <w:color w:val="000000"/>
          <w:sz w:val="24"/>
          <w:szCs w:val="24"/>
        </w:rPr>
        <w:br/>
        <w:t xml:space="preserve">not only focus my analysis on the returns, but statistically test the standard deviation and</w:t>
      </w:r>
      <w:r>
        <w:rPr>
          <w:color w:val="000000"/>
          <w:sz w:val="24"/>
          <w:szCs w:val="24"/>
        </w:rPr>
        <w:br/>
        <w:t xml:space="preserve">downside standard deviation as two measures of risk. I also evaluate the performance through</w:t>
      </w:r>
      <w:r>
        <w:rPr>
          <w:color w:val="000000"/>
          <w:sz w:val="24"/>
          <w:szCs w:val="24"/>
        </w:rPr>
        <w:br/>
        <w:t xml:space="preserve">three different risk-adjusted return ratios (Sharpe, Sortino and Information ratio). Looking for</w:t>
      </w:r>
      <w:r>
        <w:rPr>
          <w:color w:val="000000"/>
          <w:sz w:val="24"/>
          <w:szCs w:val="24"/>
        </w:rPr>
        <w:br/>
        <w:t xml:space="preserve">structural or systemic differences I divide the data into sub-periods at the Paris Agreement, and</w:t>
      </w:r>
      <w:r>
        <w:rPr>
          <w:color w:val="000000"/>
          <w:sz w:val="24"/>
          <w:szCs w:val="24"/>
        </w:rPr>
        <w:br/>
        <w:t xml:space="preserve">into period of recessions. The most interesting result is for the Environment portfolio in the</w:t>
      </w:r>
      <w:r>
        <w:rPr>
          <w:color w:val="000000"/>
          <w:sz w:val="24"/>
          <w:szCs w:val="24"/>
        </w:rPr>
        <w:br/>
        <w:t xml:space="preserve">banking sector, which consistently outperforms the sector average in terms of risk-adjusted</w:t>
      </w:r>
      <w:r>
        <w:rPr>
          <w:color w:val="000000"/>
          <w:sz w:val="24"/>
          <w:szCs w:val="24"/>
        </w:rPr>
        <w:br/>
        <w:t xml:space="preserve">returns, standard deviation and in some cases in raw return as well. The results are robust for</w:t>
      </w:r>
      <w:r>
        <w:rPr>
          <w:color w:val="000000"/>
          <w:sz w:val="24"/>
          <w:szCs w:val="24"/>
        </w:rPr>
        <w:br/>
        <w:t xml:space="preserve">equal and value weighting, different time periods, market conditions and testing methods. It is</w:t>
      </w:r>
      <w:r>
        <w:rPr>
          <w:color w:val="000000"/>
          <w:sz w:val="24"/>
          <w:szCs w:val="24"/>
        </w:rPr>
        <w:br/>
        <w:t xml:space="preserve">especially strong in time of recessions. The positive screening investing style in the banking</w:t>
      </w:r>
      <w:r>
        <w:rPr>
          <w:color w:val="000000"/>
          <w:sz w:val="24"/>
          <w:szCs w:val="24"/>
        </w:rPr>
        <w:br/>
        <w:t xml:space="preserve">sector also generally outperforms the sector average in terms of risk-adjusted return. However,</w:t>
      </w:r>
      <w:r>
        <w:rPr>
          <w:color w:val="000000"/>
          <w:sz w:val="24"/>
          <w:szCs w:val="24"/>
        </w:rPr>
        <w:br/>
        <w:t xml:space="preserve">the results in the energy sector are not so clear. There is no clear good strategy, the results are</w:t>
      </w:r>
      <w:r>
        <w:rPr>
          <w:color w:val="000000"/>
          <w:sz w:val="24"/>
          <w:szCs w:val="24"/>
        </w:rPr>
        <w:br/>
        <w:t xml:space="preserve">sensitive for weighting and for time. The positive screening style shows some positive results</w:t>
      </w:r>
      <w:r>
        <w:rPr>
          <w:color w:val="000000"/>
          <w:sz w:val="24"/>
          <w:szCs w:val="24"/>
        </w:rPr>
        <w:br/>
        <w:t xml:space="preserve">and the negative screening technics also have some promising results in the energy sector. In</w:t>
      </w:r>
      <w:r>
        <w:rPr>
          <w:color w:val="000000"/>
          <w:sz w:val="24"/>
          <w:szCs w:val="24"/>
        </w:rPr>
        <w:br/>
        <w:t xml:space="preserve">conclusion my results support the incorporation of ESG into investment decisions for better</w:t>
      </w:r>
      <w:r>
        <w:rPr>
          <w:color w:val="000000"/>
          <w:sz w:val="24"/>
          <w:szCs w:val="24"/>
        </w:rPr>
        <w:br/>
        <w:t xml:space="preserve">risk-adjusted performance in both the banking and the energy sector. With a stronger</w:t>
      </w:r>
      <w:r>
        <w:rPr>
          <w:color w:val="000000"/>
          <w:sz w:val="24"/>
          <w:szCs w:val="24"/>
        </w:rPr>
        <w:br/>
        <w:t xml:space="preserve">performance in the banking sector for the Environmental factor.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06787">
    <w:multiLevelType w:val="hybridMultilevel"/>
    <w:lvl w:ilvl="0" w:tplc="821906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06787">
    <w:abstractNumId w:val="7290678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05376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