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GELLÉRT KISS</w:t>
            </w:r>
          </w:p>
          <w:p w:rsidR="00C275A3" w:rsidRDefault="00CA6B74" w:rsidP="00C275A3">
            <w:pPr>
              <w:pStyle w:val="Hallgatokepzes"/>
            </w:pPr>
            <w:r w:rsidRPr="001067CD">
              <w:rPr>
                <w:i/>
              </w:rPr>
              <w:t>kissmartongellert@gmail.com</w:t>
            </w:r>
            <w:r w:rsidRPr="001067CD">
              <w:rPr>
                <w:i/>
              </w:rPr>
              <w:br/>
            </w:r>
            <w:r w:rsidR="00A96AEC">
              <w:t>Business Administration</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Anna Krisztina András</w:t>
            </w:r>
          </w:p>
          <w:p w:rsidR="00DB4822" w:rsidRDefault="00DB4822" w:rsidP="00BA6BAF">
            <w:pPr>
              <w:pStyle w:val="Konzulensektitulus"/>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dynamic pricing in Hungary on the revenue of cultural events and its potential impact on sporting events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Dynamic pricing; sports events; cultural events; consumer opinions; changes in revenue and ticket sales</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In my research, I examine the question of how the increasingly common dynamic pricing method impacts or could impact the Hungarian event market in the future. Where it is already present, what changes have occurred, and whether it might be worth considering its introduction in sectors currently operating with fixed-price tickets.</w:t>
      </w:r>
      <w:r>
        <w:rPr>
          <w:color w:val="000000"/>
          <w:sz w:val="24"/>
          <w:szCs w:val="24"/>
        </w:rPr>
        <w:br/>
        <w:t xml:space="preserve">Materials and Methods:</w:t>
      </w:r>
      <w:r>
        <w:rPr>
          <w:color w:val="000000"/>
          <w:sz w:val="24"/>
          <w:szCs w:val="24"/>
        </w:rPr>
        <w:br/>
        <w:t xml:space="preserve">Using interviews and case studies, I approach the question from the institutional perspective through examples and experiences of cultural events. The consumer perspective, including opinions and sentiments, is examined based on data collected through questionnaires. Thus, I used a mixed-methods approach, combining qualitative and quantitative methods.</w:t>
      </w:r>
      <w:r>
        <w:rPr>
          <w:color w:val="000000"/>
          <w:sz w:val="24"/>
          <w:szCs w:val="24"/>
        </w:rPr>
        <w:br/>
        <w:t xml:space="preserve">Results:</w:t>
      </w:r>
      <w:r>
        <w:rPr>
          <w:color w:val="000000"/>
          <w:sz w:val="24"/>
          <w:szCs w:val="24"/>
        </w:rPr>
        <w:br/>
        <w:t xml:space="preserve">One of my hypotheses examines the relationship between the perception of dynamic pricing and different residential locations. In my research, I found no significant differences between villages, towns, and the capital, a finding supported by a Hungarian case study. I was also curious about the extent to which the type of events determines the acceptance of dynamic pricing and other innovative solutions. I found that those who attend events more frequently tend to have a more positive attitude toward the topic. However, when examining event types individually, the positive relationship does not always hold. My third hypothesis, which suggests that institutions can increase their revenue and ticket sales through the introduction of dynamic pricing, is fully supported by the interviews and case studies.</w:t>
      </w:r>
      <w:r>
        <w:rPr>
          <w:color w:val="000000"/>
          <w:sz w:val="24"/>
          <w:szCs w:val="24"/>
        </w:rPr>
        <w:br/>
        <w:t xml:space="preserve">Conclusion:</w:t>
      </w:r>
      <w:r>
        <w:rPr>
          <w:color w:val="000000"/>
          <w:sz w:val="24"/>
          <w:szCs w:val="24"/>
        </w:rPr>
        <w:br/>
        <w:t xml:space="preserve">The application of dynamic pricing for event tickets does not encounter as much resistance as might have been expected; people are generally open and interested in the concept. However, there may be significant differences between certain sectors, so it may be worthwhile for some institutions to wait for demand-based pricing to become more widespread. Additionally, institutional experiences are positive, suggesting that dynamic pricing is likely to appear in more sectors over the next 5–10 years.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41175">
    <w:multiLevelType w:val="hybridMultilevel"/>
    <w:lvl w:ilvl="0" w:tplc="32135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41175">
    <w:abstractNumId w:val="55341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0153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