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ANDRAS ZSOMBOR ZARECZKY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zareczkyandraszsombor@gmail.com</w:t>
            </w:r>
            <w:r w:rsidRPr="001067CD">
              <w:rPr>
                <w:i/>
              </w:rPr>
              <w:br/>
            </w:r>
            <w:r w:rsidR="00A96AEC">
              <w:t>Applied Economics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Zoltan Madari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Surviving in the tourism sector: The vulnerability of the sector due the pandemic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propensity score matching, difference in differences, tourism, pandemic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discuss the vulnerability of the pandemic to the tourism industry and its</w:t>
      </w:r>
      <w:r>
        <w:rPr>
          <w:color w:val="000000"/>
          <w:sz w:val="24"/>
          <w:szCs w:val="24"/>
        </w:rPr>
        <w:br/>
        <w:t xml:space="preserve">components of the pand pandemic and its impact on the</w:t>
      </w:r>
      <w:r>
        <w:rPr>
          <w:color w:val="000000"/>
          <w:sz w:val="24"/>
          <w:szCs w:val="24"/>
        </w:rPr>
        <w:br/>
        <w:t xml:space="preserve">matching) and difference-in-differences methodology. The analysis</w:t>
      </w:r>
      <w:r>
        <w:rPr>
          <w:color w:val="000000"/>
          <w:sz w:val="24"/>
          <w:szCs w:val="24"/>
        </w:rPr>
        <w:br/>
        <w:t xml:space="preserve">theoretical overview of the analysis, I briefly describe the responses of the Hungarian corporate sector to the 2008-2009</w:t>
      </w:r>
      <w:r>
        <w:rPr>
          <w:color w:val="000000"/>
          <w:sz w:val="24"/>
          <w:szCs w:val="24"/>
        </w:rPr>
        <w:br/>
        <w:t xml:space="preserve">financial crisis. I will then compare the findings with the experience of the corporate sector in the pandemic.</w:t>
      </w:r>
      <w:r>
        <w:rPr>
          <w:color w:val="000000"/>
          <w:sz w:val="24"/>
          <w:szCs w:val="24"/>
        </w:rPr>
        <w:br/>
        <w:t xml:space="preserve">the pandemic. Furthermore, I will identify the origins of these reactions and identify which</w:t>
      </w:r>
      <w:r>
        <w:rPr>
          <w:color w:val="000000"/>
          <w:sz w:val="24"/>
          <w:szCs w:val="24"/>
        </w:rPr>
        <w:br/>
        <w:t xml:space="preserve">the financial dimensions along which firms friction with the pandemic was most significant.</w:t>
      </w:r>
      <w:r>
        <w:rPr>
          <w:color w:val="000000"/>
          <w:sz w:val="24"/>
          <w:szCs w:val="24"/>
        </w:rPr>
        <w:br/>
        <w:t xml:space="preserve">The main question of my research is whether, after breaking down industry differences, there is</w:t>
      </w:r>
      <w:r>
        <w:rPr>
          <w:color w:val="000000"/>
          <w:sz w:val="24"/>
          <w:szCs w:val="24"/>
        </w:rPr>
        <w:br/>
        <w:t xml:space="preserve">differences in growth between tourism and other sectors. Furthermore, can we</w:t>
      </w:r>
      <w:r>
        <w:rPr>
          <w:color w:val="000000"/>
          <w:sz w:val="24"/>
          <w:szCs w:val="24"/>
        </w:rPr>
        <w:br/>
        <w:t xml:space="preserve">explain this difference by the pandemic. I imagine that there are significant differences</w:t>
      </w:r>
      <w:r>
        <w:rPr>
          <w:color w:val="000000"/>
          <w:sz w:val="24"/>
          <w:szCs w:val="24"/>
        </w:rPr>
        <w:br/>
        <w:t xml:space="preserve">differences, and I will try to identify these differences by corporate governance focus</w:t>
      </w:r>
      <w:r>
        <w:rPr>
          <w:color w:val="000000"/>
          <w:sz w:val="24"/>
          <w:szCs w:val="24"/>
        </w:rPr>
        <w:br/>
        <w:t xml:space="preserve">into different groups of factors.</w:t>
      </w:r>
      <w:r>
        <w:rPr>
          <w:color w:val="000000"/>
          <w:sz w:val="24"/>
          <w:szCs w:val="24"/>
        </w:rPr>
        <w:br/>
        <w:t xml:space="preserve">In the analysis, I will first identify the distances by which each tourism</w:t>
      </w:r>
      <w:r>
        <w:rPr>
          <w:color w:val="000000"/>
          <w:sz w:val="24"/>
          <w:szCs w:val="24"/>
        </w:rPr>
        <w:br/>
        <w:t xml:space="preserve">companies, I will look for one similar non-tourism company from the control group next to each tourism company. From</w:t>
      </w:r>
      <w:r>
        <w:rPr>
          <w:color w:val="000000"/>
          <w:sz w:val="24"/>
          <w:szCs w:val="24"/>
        </w:rPr>
        <w:br/>
        <w:t xml:space="preserve">I calculate the average treatment effect on the identified pairs of companies. The analysis</w:t>
      </w:r>
      <w:r>
        <w:rPr>
          <w:color w:val="000000"/>
          <w:sz w:val="24"/>
          <w:szCs w:val="24"/>
        </w:rPr>
        <w:br/>
        <w:t xml:space="preserve">I use the difference-in-differences method on the database of pairs to treat the time non</w:t>
      </w:r>
      <w:r>
        <w:rPr>
          <w:color w:val="000000"/>
          <w:sz w:val="24"/>
          <w:szCs w:val="24"/>
        </w:rPr>
        <w:br/>
        <w:t xml:space="preserve">observed variables. As a result of my analysis, I found that in the tourism sector in the tourism sector was more significant than in other sectors due to the pandemic. I also found that the impact of the pandemic cannot be controlled by corporate governance tools.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62324">
    <w:multiLevelType w:val="hybridMultilevel"/>
    <w:lvl w:ilvl="0" w:tplc="19881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62324">
    <w:abstractNumId w:val="24062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902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