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MUZSLAI</w:t>
            </w:r>
          </w:p>
          <w:p w:rsidR="00C275A3" w:rsidRDefault="00CA6B74" w:rsidP="00C275A3">
            <w:pPr>
              <w:pStyle w:val="Hallgatokepzes"/>
            </w:pPr>
            <w:r w:rsidRPr="001067CD">
              <w:rPr>
                <w:i/>
              </w:rPr>
              <w:t>muzslai.barnabas@gmail.com</w:t>
            </w:r>
            <w:r w:rsidRPr="001067CD">
              <w:rPr>
                <w:i/>
              </w:rPr>
              <w:br/>
            </w:r>
            <w:r w:rsidR="00A96AEC">
              <w:t>Finance and accounting</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Attila Kajos</w:t>
            </w:r>
          </w:p>
          <w:p w:rsidR="00DB4822" w:rsidRDefault="00DB4822" w:rsidP="00BA6BAF">
            <w:pPr>
              <w:pStyle w:val="Konzulensektitulus"/>
            </w:pPr>
            <w:r w:rsidRPr="00DB4822">
              <w:t>senior lecturer ,  Rector's Office / Institute of Entrepreneurship and Innovation / Department of Business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Putting shared value into practice in homeless people reintegration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CSV, shared value, social value, homelessness, reintegration, SROI</w:t>
      </w:r>
      <w:r>
        <w:t xml:space="preserve"/>
      </w:r>
    </w:p>
    <w:p>
      <w:pPr>
        <w:widowControl w:val="on"/>
        <w:pBdr/>
        <w:spacing w:before="240" w:after="240" w:line="240" w:lineRule="auto"/>
        <w:ind w:left="0" w:right="0"/>
        <w:jc w:val="left"/>
      </w:pPr>
      <w:r>
        <w:rPr>
          <w:color w:val="000000"/>
          <w:sz w:val="24"/>
          <w:szCs w:val="24"/>
        </w:rPr>
        <w:t xml:space="preserve">The study shows how CSV (creating shared value), including the employment and reintegration of homeless people into the labour market, is reflected in the operations of Recobin, a profit-oriented company. It does so by answering three research questions. The first research question is whether the activities of Recobin are indeed shared value creation. The second is whether the creation of shared value is a necessary condition for the creation of economic and social value. The third is the role of external and internal factors in Recobin's success in creating shared value. The research is based on internet sources, university lectures and two in-depth interviews. The result of the study is that it captures an unanticipated realisation of shared value creation, how it happens and the external and internal factors that influence it. It demonstrates why the realisation of shared value creation is necessary for the value thus created. It also proposes a measurement of shared value, supported by accounting, using the SROI method. The case of Recobin is revolutionary, not only in the industry but also in homelessness care, and therefore provides a model for business to follow in the future, as well as an important message for public and civil society 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06084">
    <w:multiLevelType w:val="hybridMultilevel"/>
    <w:lvl w:ilvl="0" w:tplc="97964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06084">
    <w:abstractNumId w:val="757060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76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