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NAGY</w:t>
            </w:r>
          </w:p>
          <w:p w:rsidR="00C275A3" w:rsidRDefault="00CA6B74" w:rsidP="00C275A3">
            <w:pPr>
              <w:pStyle w:val="Hallgatokepzes"/>
            </w:pPr>
            <w:r w:rsidRPr="001067CD">
              <w:rPr>
                <w:i/>
              </w:rPr>
              <w:t>ntunde213@gmail.com</w:t>
            </w:r>
            <w:r w:rsidRPr="001067CD">
              <w:rPr>
                <w:i/>
              </w:rPr>
              <w:br/>
            </w:r>
            <w:r w:rsidR="00A96AEC">
              <w:t>Finance and Accounting</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Dóra Gréta Petróczy</w:t>
            </w:r>
          </w:p>
          <w:p w:rsidR="00DB4822" w:rsidRDefault="00DB4822" w:rsidP="00BA6BAF">
            <w:pPr>
              <w:pStyle w:val="Konzulensektitulus"/>
            </w:pPr>
            <w:r w:rsidRPr="00DB4822">
              <w:t>assistant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Perception and assessment of risk and risky situations, effects that modify perception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representativity; anchoring; framing; risk assessment; questionnaire</w:t>
      </w:r>
      <w:r>
        <w:t xml:space="preserve"/>
      </w:r>
    </w:p>
    <w:p>
      <w:pPr>
        <w:widowControl w:val="on"/>
        <w:pBdr/>
        <w:spacing w:before="240" w:after="240" w:line="240" w:lineRule="auto"/>
        <w:ind w:left="0" w:right="0"/>
        <w:jc w:val="left"/>
      </w:pPr>
      <w:r>
        <w:rPr>
          <w:color w:val="000000"/>
          <w:sz w:val="24"/>
          <w:szCs w:val="24"/>
        </w:rPr>
        <w:t xml:space="preserve">This paper investigated the factors affecting perception in risky situations in different groups. To stratify the groups, variables such as the respondent's gambling and investment habits and economic education were used, and the effect of certain demographic factors on the individual's perception and management of risk were tested. This paper seeks to answer the following questions: Is there an influence of anchoring effects, framing effects, house money effects, and representativeness among the respondents to the questionnaire? Does gender, age, education, and monthly income level have an impact on perception and evaluation? Does it make a difference whether they gamble, hold investment assets, or participate in economic education? For the research, information was collected through an online questionnaire, the first part of which asked respondents to provide demographic information, followed by the relevant questions designed to test for the emergence of different effects in the respondent group. The results provided limited evidence for the phenomenon of the fourfold risk attitude, as, contrary to expectations, the majority of respondents were risk-averse for low-probability gains. The hypothesis that the phenomenon of fourfold risk attitudes will be less clearly identifiable for lower amounts is not confirmed by the results, nor is the presence of a house money effect. Regarding representativeness, mixed results were obtained, with some situations where respondents behaved as expected and others where not. However, limited evidence was found that there was a difference in responses due to the neutral or non-neutral attributes that respondents were given to help. On the other hand, there was only limited evidence that providing or not the actual distribution within the group makes a difference. Regarding the anchoring effect, the results confirmed the hypotheses in some categories and did not confirm them in others. The results for the framing effect were confirmed and there were differences in the consistent response rates between women-men, young-older, lower and higher educated.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84150">
    <w:multiLevelType w:val="hybridMultilevel"/>
    <w:lvl w:ilvl="0" w:tplc="66057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84150">
    <w:abstractNumId w:val="43984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439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