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SZÉCSI DOMINIKA</w:t>
            </w:r>
          </w:p>
          <w:p w:rsidR="00C275A3" w:rsidRDefault="00CA6B74" w:rsidP="00C275A3">
            <w:pPr>
              <w:pStyle w:val="Hallgatokepzes"/>
            </w:pPr>
            <w:r w:rsidRPr="001067CD">
              <w:rPr>
                <w:i/>
              </w:rPr>
              <w:t>szecsi.dominika@gmail.com</w:t>
            </w:r>
            <w:r w:rsidRPr="001067CD">
              <w:rPr>
                <w:i/>
              </w:rPr>
              <w:br/>
            </w:r>
            <w:r w:rsidR="00A96AEC">
              <w:t>International Economy and Business</w:t>
            </w:r>
            <w:r w:rsidR="00A96AEC">
              <w:br/>
            </w:r>
            <w:r w:rsidR="00E77B23">
              <w:t>MSc,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Szunomár Ágnes</w:t>
            </w:r>
          </w:p>
          <w:p w:rsidR="00DB4822" w:rsidRDefault="00DB4822" w:rsidP="00BA6BAF">
            <w:pPr>
              <w:pStyle w:val="Konzulensektitulus"/>
            </w:pPr>
            <w:r w:rsidRPr="00DB4822">
              <w:t>Egyetemi docens,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Visegrádi 4 ország hosszú távú oktatáspolitikájának vizsgálata a kelet-ázsiai oktatási növekedési modell szemszögéből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Oktatás, PISA pontszám, Visegrádi országok</w:t>
      </w:r>
      <w:r>
        <w:t xml:space="preserve"/>
      </w:r>
    </w:p>
    <w:p>
      <w:pPr>
        <w:widowControl w:val="on"/>
        <w:pBdr/>
        <w:spacing w:before="240" w:after="240" w:line="240" w:lineRule="auto"/>
        <w:ind w:left="0" w:right="0"/>
        <w:jc w:val="left"/>
      </w:pPr>
      <w:r>
        <w:rPr>
          <w:color w:val="000000"/>
          <w:sz w:val="24"/>
          <w:szCs w:val="24"/>
        </w:rPr>
        <w:t xml:space="preserve">Mint a modern állam egyik alapja, az oktatást és az oktatás fejlesztését figyelembe kell venniük a döntéshozóknak az általános politika megfogalmazásakor (Yan, 2019). A kelet-ázsiai régió a növekedés kiváló példája, így az oktatás szerepének kutatása a régió országaiban segíthet a lemaradó európai országoknak felzárkózni és pontos politikai ajánlásokat nyújtani. A kutatás három kutatási kérdés köré épül. Az első kutatási kérdés, hogy melyik oktatási komponens befolyásolja a növekedést kiemelten fontos, mivel a szakirodalom megoszlik az eredmények tekintetében. Annak érdekében, hogy jobban megértsük, hogyan különbözik az oktatás a kelet-ázsiai és az európai országokban, a második kutatási kérdés kifejezetten erre a régióra összpontosít. A kutatási kérdés arra keresi a választ, hogy melyik oktatás-specifikus tényezők járultak hozzá a kelet-ázsiai sikerhez. A harmadik részben a kutatás a Visegrági Csoportok országaira, Lengyelországra, Csehországra, Szlovákiára és Magyarországra összpontosít. A tanulmány azt vizsgálja, hogy mely mutatók maradnak el ezen a területen, és milyen előrelépéseket tehetnek ezek az országok. Az adatok gyűjtéséhez országonként másodlagos adatgyűjtést végeztem. Az elemzés során több adatbázist használtam (Világbank, Penn World Table, OECD, UNDP és DECS) és az országok kategorizálási rendszerét különböző dummy változók létrehozásához. Az adatokat 1996 és 2019 között gyűjtöttem, és 4 különböző alidőszakban használtam fel az időbeli trend megfigyelésére. Az adatokat panel regresszióval elemeztem random effect specifikációval. A kutatás eredménye, hogy a kormányzati egy főre jutó növekedés, a felsőoktatási tanuló-tanár arány és a PISA pontszámok pozitívan befolyásolják a növekedést. Ezzel szemben a kormányzati költségvetés GDP %-ának növekedése, a közép- és felsőoktatási beiratkozási arányok, valamint a középiskolai tanuló-tanár arány csökkentik az egy főre jutó GDP-t. Kelet-Ázsiában az egy főre jutó kormányzati költségvetés, az összes és a középszintű költségvetés GDP %-a, valamint a szakképzési arány alacsonyabb, míg az általános és középszintű tanuló-tanár arány, valamint a PISA pontszámok magasabbak. Az elemzés azt mutatja, hogy a V4 országok több változóban is lemaradnak. Az eredmények azt sugallják, hogy a visegrádi országoknak három változóra kellene összpontosítaniuk: az egy főre jutó kormányzati költségvetésre, a középszintű tanuló-tanár arányra és a PISA pontszámra.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54310">
    <w:multiLevelType w:val="hybridMultilevel"/>
    <w:lvl w:ilvl="0" w:tplc="96830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54310">
    <w:abstractNumId w:val="738543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4654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