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VEREB BOGLÁRKA SÁRA</w:t>
            </w:r>
          </w:p>
          <w:p w:rsidR="00C275A3" w:rsidRDefault="00CA6B74" w:rsidP="00C275A3">
            <w:pPr>
              <w:pStyle w:val="Hallgatokepzes"/>
            </w:pPr>
            <w:r w:rsidRPr="001067CD">
              <w:rPr>
                <w:i/>
              </w:rPr>
              <w:t>verebbogi@gmail.com</w:t>
            </w:r>
            <w:r w:rsidRPr="001067CD">
              <w:rPr>
                <w:i/>
              </w:rPr>
              <w:br/>
            </w:r>
            <w:r w:rsidR="00A96AEC">
              <w:t>gazdaság- és pénzügy-matematikai elemzés</w:t>
            </w:r>
            <w:r w:rsidR="00A96AEC">
              <w:br/>
            </w:r>
            <w:r w:rsidR="00E77B23">
              <w:t>Osztatlan, 8. félév</w:t>
            </w:r>
          </w:p>
          <w:p w:rsidR="00C265CE" w:rsidRPr="009E5FF1" w:rsidRDefault="00E77B23" w:rsidP="00BA6BAF">
            <w:pPr>
              <w:pStyle w:val="Hallgatointezmeny-kar"/>
              <w:rPr>
                <w:b/>
                <w:caps/>
              </w:rPr>
            </w:pPr>
            <w:r>
              <w:t>Budapesti Corvinus Egyetem</w:t>
            </w:r>
            <w:r w:rsidR="00C275A3">
              <w:br/>
            </w:r>
            <w:r w:rsidR="00DB4822">
              <w:t>Közgazdaságtudományi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Szádoczki Zsombor</w:t>
            </w:r>
          </w:p>
          <w:p w:rsidR="00DB4822" w:rsidRDefault="00DB4822" w:rsidP="00BA6BAF">
            <w:pPr>
              <w:pStyle w:val="Konzulensektitulus"/>
            </w:pPr>
            <w:r w:rsidRPr="00DB4822">
              <w:t>egyetemi tanársegéd,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Hogyan viszonyulnak egymáshoz Kelet-Közép-Európa egyetemei valójában? – Vizsgálat PROMETHEE módszertannal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egyetemi rangsorok; többszempontú döntési módszerek; PROMETHEE</w:t>
      </w:r>
      <w:r>
        <w:t xml:space="preserve"/>
      </w:r>
    </w:p>
    <w:p>
      <w:pPr>
        <w:widowControl w:val="on"/>
        <w:pBdr/>
        <w:spacing w:before="240" w:after="240" w:line="240" w:lineRule="auto"/>
        <w:ind w:left="0" w:right="0"/>
        <w:jc w:val="left"/>
      </w:pPr>
      <w:r>
        <w:rPr>
          <w:color w:val="000000"/>
          <w:sz w:val="24"/>
          <w:szCs w:val="24"/>
        </w:rPr>
        <w:t xml:space="preserve">Dolgozatomban arra keresem a választ, hogyan teljesítenek egymáshoz képest a kelet-közép-európai régió felsőoktatási intézményei. Természetesen erre léteznek különféle egyetemi rangsorok, azonban ezek sokszor olyan szempontból torzított képet adnak, hogy több különböző adottságú és oktatási rendszerű térség intézményeit hasonlítják össze. Ezért én a V4 országokra (Lengyelország, Csehország, Szlovákia, Magyarország) szűkítettem az elemzést. Emellett bizonyos értelemben hiányosnak is mondhatók, hiszen csupán a ranglista első néhány eleméhez társítanak konkrét helyezést, a hátrébb szereplőket pedig csak egy intervallumba sorolják. Hogy egy pontosabb képet kapjak, összegyűjtöttem, hogy a régió mely intézményei szerepelnek a legfrissebb Times Higher Education rangsorban, majd négy mutató szerint vizsgáltam a teljesítményüket. A PROMETHEE módszer segítségével alakítottam ki a rangsort, amely szerint a Semmelweis Egyetem kiugróan teljesít. Ezután a GAIA-vizualizációt alkalmazva megállapítottam a klasztereződéseket, majd megvizsgáltam, mennyire érzékeny a rangsor az egyes szempontokra.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611554">
    <w:multiLevelType w:val="hybridMultilevel"/>
    <w:lvl w:ilvl="0" w:tplc="597173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611554">
    <w:abstractNumId w:val="186115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74523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