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SÁRA VEREB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verebbogi@gmail.com</w:t>
            </w:r>
            <w:r w:rsidRPr="001067CD">
              <w:rPr>
                <w:i/>
              </w:rPr>
              <w:br/>
            </w:r>
            <w:r w:rsidR="00A96AEC">
              <w:t>Economic and Financial Mathematical Analysis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Zsombor Szádoczki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do universities in Central and Eastern Europe actually relate to each other? An analysis using PROMETHEE method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university rankings; multi-criteria decision making; PROMETHEE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am analysing how universities in Central and Eastern Europe compare with each other. Of course, various university rankings already exist, however sometimes these tend to give a distorted picture given they are comparing institutions from different regions, with different characteristics and educational systems. Therefore, I have limited my analysis to the V4 countries (Poland, Czech Republic, Slovakia, Hungary). In addition, these rankings are oftern incomplete in a sense that they only associate a specific ranking to the first few items of the rankings, and only give an interval for the lower rankings. In order to get a more accurate picture, I have collected the institutions of the region that feature in the latest Times Higher Education rankings, and then analysed their performance based on four indicators. Using PROMETHEE method, I developed a ranking that shows Semmelweis University as an outperformer. Then I used GAIA visualisation to establish the clustering and examined the sensitivity of the ranking to each of the criteria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64247">
    <w:multiLevelType w:val="hybridMultilevel"/>
    <w:lvl w:ilvl="0" w:tplc="54203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64247">
    <w:abstractNumId w:val="40464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52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