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BABOS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bandras2000@gmail.com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Veit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PSZGJI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Topfutball válságok árnyékában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Covid-19 járvány; Futballklubok gazdasági működése; Fenntartható üzleti stratégia; Sportszakmai és gazdasági teljesítmény kapcsolata; Játékospiaci stratégia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században a labdarúgás világméretű iparággá nőtte ki magát, ami magával vonta a</w:t>
      </w:r>
      <w:r>
        <w:rPr>
          <w:color w:val="000000"/>
          <w:sz w:val="24"/>
          <w:szCs w:val="24"/>
        </w:rPr>
        <w:br/>
        <w:t xml:space="preserve">legnagyobb klubok közti verseny kiéleződését. A topklubok évről évre egyre nagyobb</w:t>
      </w:r>
      <w:r>
        <w:rPr>
          <w:color w:val="000000"/>
          <w:sz w:val="24"/>
          <w:szCs w:val="24"/>
        </w:rPr>
        <w:br/>
        <w:t xml:space="preserve">bevételeket generáltak, növelték a bérkeretüket és transzferkiadásaikat, üzleti stratégiájuk</w:t>
      </w:r>
      <w:r>
        <w:rPr>
          <w:color w:val="000000"/>
          <w:sz w:val="24"/>
          <w:szCs w:val="24"/>
        </w:rPr>
        <w:br/>
        <w:t xml:space="preserve">azonban ezáltal hosszú távon fenntarthatatlanná vált, melyet a Covid-19 járvány egyértelműen</w:t>
      </w:r>
      <w:r>
        <w:rPr>
          <w:color w:val="000000"/>
          <w:sz w:val="24"/>
          <w:szCs w:val="24"/>
        </w:rPr>
        <w:br/>
        <w:t xml:space="preserve">be is bizonyított. Jelen kutatás arra keresi a választ, hogy a koronavírus-járvány gazdasági</w:t>
      </w:r>
      <w:r>
        <w:rPr>
          <w:color w:val="000000"/>
          <w:sz w:val="24"/>
          <w:szCs w:val="24"/>
        </w:rPr>
        <w:br/>
        <w:t xml:space="preserve">hatásai milyen mértékben befolyásolták az európai futballklubok működését szakmai,</w:t>
      </w:r>
      <w:r>
        <w:rPr>
          <w:color w:val="000000"/>
          <w:sz w:val="24"/>
          <w:szCs w:val="24"/>
        </w:rPr>
        <w:br/>
        <w:t xml:space="preserve">gazdasági és pénzügyi szempontból.</w:t>
      </w:r>
      <w:r>
        <w:rPr>
          <w:color w:val="000000"/>
          <w:sz w:val="24"/>
          <w:szCs w:val="24"/>
        </w:rPr>
        <w:br/>
        <w:t xml:space="preserve">A dolgozatban tesztelt hipotézisek tesztelése lineáris regressziókkal valósult meg, melyek</w:t>
      </w:r>
      <w:r>
        <w:rPr>
          <w:color w:val="000000"/>
          <w:sz w:val="24"/>
          <w:szCs w:val="24"/>
        </w:rPr>
        <w:br/>
        <w:t xml:space="preserve">alapjául az Orbis adatbázisból, a transfermarkt.de és a sofascore.com oldalról letöltött adatok</w:t>
      </w:r>
      <w:r>
        <w:rPr>
          <w:color w:val="000000"/>
          <w:sz w:val="24"/>
          <w:szCs w:val="24"/>
        </w:rPr>
        <w:br/>
        <w:t xml:space="preserve">szolgáltak. A kutatás legfontosabb eredménye a különböző pénzügyi mutatószámok</w:t>
      </w:r>
      <w:r>
        <w:rPr>
          <w:color w:val="000000"/>
          <w:sz w:val="24"/>
          <w:szCs w:val="24"/>
        </w:rPr>
        <w:br/>
        <w:t xml:space="preserve">(normalizált bevételek, EBITDA-margin, Cash-flow konverziós ráta, …) és a játékospiaci</w:t>
      </w:r>
      <w:r>
        <w:rPr>
          <w:color w:val="000000"/>
          <w:sz w:val="24"/>
          <w:szCs w:val="24"/>
        </w:rPr>
        <w:br/>
        <w:t xml:space="preserve">kiadások, valamint a fenntartott bérkeret közti kapcsolat azonosítása. A gazdasági és</w:t>
      </w:r>
      <w:r>
        <w:rPr>
          <w:color w:val="000000"/>
          <w:sz w:val="24"/>
          <w:szCs w:val="24"/>
        </w:rPr>
        <w:br/>
        <w:t xml:space="preserve">sportszakmai teljesítményben bekövetkezett változások kapcsolata szintén tesztelésre került</w:t>
      </w:r>
      <w:r>
        <w:rPr>
          <w:color w:val="000000"/>
          <w:sz w:val="24"/>
          <w:szCs w:val="24"/>
        </w:rPr>
        <w:br/>
        <w:t xml:space="preserve">empirikusan, de szignifikáns összefüggést nem sikerült alátámasztani. A kutatás eredményei</w:t>
      </w:r>
      <w:r>
        <w:rPr>
          <w:color w:val="000000"/>
          <w:sz w:val="24"/>
          <w:szCs w:val="24"/>
        </w:rPr>
        <w:br/>
        <w:t xml:space="preserve">leginkább a hazai és regionális futballklubok, a szabályozók és egyéb külső érintetettek</w:t>
      </w:r>
      <w:r>
        <w:rPr>
          <w:color w:val="000000"/>
          <w:sz w:val="24"/>
          <w:szCs w:val="24"/>
        </w:rPr>
        <w:br/>
        <w:t xml:space="preserve">(befektetők, szurkolók, partnerek) számára relevánsak, a sportszervezetek gazdasági-stratégiai</w:t>
      </w:r>
      <w:r>
        <w:rPr>
          <w:color w:val="000000"/>
          <w:sz w:val="24"/>
          <w:szCs w:val="24"/>
        </w:rPr>
        <w:br/>
        <w:t xml:space="preserve">működését vizsgáló további kutatásokhoz is jó kiindulási alapot ad.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46316">
    <w:multiLevelType w:val="hybridMultilevel"/>
    <w:lvl w:ilvl="0" w:tplc="214749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46316">
    <w:abstractNumId w:val="457463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1167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