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BABOS</w:t>
            </w:r>
          </w:p>
          <w:p w:rsidR="00C275A3" w:rsidRDefault="00CA6B74" w:rsidP="00C275A3">
            <w:pPr>
              <w:pStyle w:val="Hallgatokepzes"/>
            </w:pPr>
            <w:r w:rsidRPr="001067CD">
              <w:rPr>
                <w:i/>
              </w:rPr>
              <w:t>bandras2000@gmail.com</w:t>
            </w:r>
            <w:r w:rsidRPr="001067CD">
              <w:rPr>
                <w:i/>
              </w:rPr>
              <w:br/>
            </w:r>
            <w:r w:rsidR="00A96AEC">
              <w:t>Finance and Accounting</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József Veit</w:t>
            </w:r>
          </w:p>
          <w:p w:rsidR="00DB4822" w:rsidRDefault="00DB4822" w:rsidP="00BA6BAF">
            <w:pPr>
              <w:pStyle w:val="Konzulensektitulus"/>
            </w:pPr>
            <w:r w:rsidRPr="00DB4822">
              <w:t>Associate Professor,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Top football in the shadow of crises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Covid-19 epidemic; Financial performance of football clubs; Sustainable business strategy; Relationship between sport professional and economic performance; Transfer market strategy</w:t>
      </w:r>
      <w:r>
        <w:t xml:space="preserve"/>
      </w:r>
    </w:p>
    <w:p>
      <w:pPr>
        <w:widowControl w:val="on"/>
        <w:pBdr/>
        <w:spacing w:before="240" w:after="240" w:line="240" w:lineRule="auto"/>
        <w:ind w:left="0" w:right="0"/>
        <w:jc w:val="left"/>
      </w:pPr>
      <w:r>
        <w:rPr>
          <w:color w:val="000000"/>
          <w:sz w:val="24"/>
          <w:szCs w:val="24"/>
        </w:rPr>
        <w:t xml:space="preserve">In the 21st century, football has grown into a global industry, which was accompanied by a more and more fierce competition between the biggest European teams. As top clubs generated higher revenues, they increased wage bills and transfer spendings in line with that, which made their business strategies unsustainable in the long run, as it was clearly demonstrated by the Covid-19 epidemic. The present research seeks to answer the question of the extent to which the economic impact of the coronavirus epidemic has affected the professional, economic and financial performance of European football clubs.</w:t>
      </w:r>
      <w:r>
        <w:rPr>
          <w:color w:val="000000"/>
          <w:sz w:val="24"/>
          <w:szCs w:val="24"/>
        </w:rPr>
        <w:br/>
        <w:t xml:space="preserve">The hypotheses testing in this research were conducted by using linear regressions based on data downloaded from the Orbis database, transfermarkt.de and sofascore.com. The most important result of the research is the identification of the relationship between transfer market expenditures, wage bills and different financial performance indicators (normalised revenues, EBITDA margin, cash-flow conversion rate, ...). The relationship between changes in economic and sporting performance was also tested empirically, but no significant relationship could be confirmed. However, the results of the research can be still relevant to national and regional football clubs, regulators and other external stakeholders (investors, fans, partners) and can provide a good starting point for any further research on the economic-strategic performance of sport organisations.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92697">
    <w:multiLevelType w:val="hybridMultilevel"/>
    <w:lvl w:ilvl="0" w:tplc="14358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92697">
    <w:abstractNumId w:val="393926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64512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