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RÁHEL ORSOLYA CZIRE</w:t>
            </w:r>
          </w:p>
          <w:p w:rsidR="00C275A3" w:rsidRDefault="00CA6B74" w:rsidP="00C275A3">
            <w:pPr>
              <w:pStyle w:val="Hallgatokepzes"/>
            </w:pPr>
            <w:r w:rsidRPr="001067CD">
              <w:rPr>
                <w:i/>
              </w:rPr>
              <w:t>czire.rahel@gmail.com</w:t>
            </w:r>
            <w:r w:rsidRPr="001067CD">
              <w:rPr>
                <w:i/>
              </w:rPr>
              <w:br/>
            </w:r>
            <w:r w:rsidR="00A96AEC">
              <w:t>Commerce and Marketing</w:t>
            </w:r>
            <w:r w:rsidR="00A96AEC">
              <w:br/>
            </w:r>
            <w:r w:rsidR="00E77B23">
              <w:t>BSc, 7.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Erika Hlédik</w:t>
            </w:r>
          </w:p>
          <w:p w:rsidR="00DB4822" w:rsidRDefault="00DB4822" w:rsidP="00BA6BAF">
            <w:pPr>
              <w:pStyle w:val="Konzulensektitulus"/>
            </w:pPr>
            <w:r w:rsidRPr="00DB4822">
              <w:t>associate professor, ELTE GTK</w:t>
            </w:r>
          </w:p>
        </w:tc>
      </w:tr>
      <w:tr w:rsidR="00DB4822" w:rsidTr="00DB4822">
        <w:tc>
          <w:tcPr>
            <w:tcW w:w="9854" w:type="dxa"/>
          </w:tcPr>
          <w:p w:rsidR="00DB4822" w:rsidRPr="00DB4822" w:rsidRDefault="00DB4822" w:rsidP="00BA6BAF">
            <w:pPr>
              <w:pStyle w:val="Konzulenseknev"/>
            </w:pPr>
            <w:r w:rsidRPr="00DB4822">
              <w:t>Dr. Gábor Forrai</w:t>
            </w:r>
          </w:p>
          <w:p w:rsidR="00DB4822" w:rsidRDefault="00DB4822" w:rsidP="00BA6BAF">
            <w:pPr>
              <w:pStyle w:val="Konzulensektitulus"/>
            </w:pPr>
            <w:r w:rsidRPr="00DB4822">
              <w:t>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Cupfluence - Motivations and barriers shaping the perception of menstrual cups among 18 to 50-year-old consumers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menstrual cup; diffusion of innovation; consumer behaviour; alternative menstrual products; perception analysis</w:t>
      </w:r>
      <w:r>
        <w:t xml:space="preserve"/>
      </w:r>
    </w:p>
    <w:p>
      <w:pPr>
        <w:widowControl w:val="on"/>
        <w:pBdr/>
        <w:spacing w:before="240" w:after="240" w:line="240" w:lineRule="auto"/>
        <w:ind w:left="0" w:right="0"/>
        <w:jc w:val="left"/>
      </w:pPr>
      <w:r>
        <w:rPr>
          <w:color w:val="000000"/>
          <w:sz w:val="24"/>
          <w:szCs w:val="24"/>
        </w:rPr>
        <w:t xml:space="preserve">Despite potential advantages and waste reduction effects, the adoption of menstrual cups remains low. This study explores the perceptions, motivations, and barriers influencing menstrual cup usage among Hungarian consumers, focusing on consumer behaviour and product preferences. A mixed-methods approach is used, combining in-depth interviews with consumers and company representatives and an online questionnaire addressing four key factors related to knowledge gaps, societal taboo, product choices, and environmental concerns.</w:t>
      </w:r>
    </w:p>
    <w:p>
      <w:pPr>
        <w:widowControl w:val="on"/>
        <w:pBdr/>
        <w:spacing w:before="240" w:after="240" w:line="240" w:lineRule="auto"/>
        <w:ind w:left="0" w:right="0"/>
        <w:jc w:val="left"/>
      </w:pPr>
      <w:r>
        <w:rPr>
          <w:color w:val="000000"/>
          <w:sz w:val="24"/>
          <w:szCs w:val="24"/>
        </w:rPr>
        <w:t xml:space="preserve">The findings provide valuable insights into the role of education and information dissemination, which is crucial in enhancing the perception of menstrual cups and driving product adoption. Further, there is a notable improvement in opinions when individuals are educated about menstrual cups. This study highlights strong connections between environmental consciousness and product choice, as well as monthly spending on menstrual products and the choice to use menstrual cups.</w:t>
      </w:r>
    </w:p>
    <w:p>
      <w:pPr>
        <w:widowControl w:val="on"/>
        <w:pBdr/>
        <w:spacing w:before="240" w:after="240" w:line="240" w:lineRule="auto"/>
        <w:ind w:left="0" w:right="0"/>
        <w:jc w:val="left"/>
      </w:pPr>
      <w:r>
        <w:rPr>
          <w:color w:val="000000"/>
          <w:sz w:val="24"/>
          <w:szCs w:val="24"/>
        </w:rPr>
        <w:t xml:space="preserve">The research contributes to the understanding of the adoption process of menstrual cups, applying the Diffusion of Innovation framework. What sets this study apart is the intricacy of the primary research, the Central Europen context and the examination of the awareness stage of the innovation process, as understanding the influential factors in this stage can aid the progression of the innovation adoption. Such influential factors are the societal taboo, the sustainable nature of the product and the effect of the knowledge gap. The findings offer important insights for companies in the menstrual product industry, emphasizing the significance of factors such as comfort, protection, and environmental considerations in product selection. Education also plays a pivotal role in alleviating concerns about alternative period products.</w:t>
      </w:r>
    </w:p>
    <w:p>
      <w:pPr>
        <w:widowControl w:val="on"/>
        <w:pBdr/>
        <w:spacing w:before="240" w:after="240" w:line="240" w:lineRule="auto"/>
        <w:ind w:left="0" w:right="0"/>
        <w:jc w:val="left"/>
      </w:pPr>
      <w:r>
        <w:rPr>
          <w:color w:val="000000"/>
          <w:sz w:val="24"/>
          <w:szCs w:val="24"/>
        </w:rPr>
        <w:t xml:space="preserve">However, it is important to acknowledge the study's limitations, including convenience sampling, uneven age group distribution, reliance on self-reported answers, and potential bias. Therefore, the results should be interpreted with caution, recognizing that they may not fully represent the broader population. Nevertheless, these findings provide a solid foundation for further analysis and consideration.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96628">
    <w:multiLevelType w:val="hybridMultilevel"/>
    <w:lvl w:ilvl="0" w:tplc="848265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96628">
    <w:abstractNumId w:val="945966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4096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