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BOGLÁRKA KISS</w:t>
            </w:r>
          </w:p>
          <w:p w:rsidR="00C275A3" w:rsidRDefault="00CA6B74" w:rsidP="00C275A3">
            <w:pPr>
              <w:pStyle w:val="Hallgatokepzes"/>
            </w:pPr>
            <w:r w:rsidRPr="001067CD">
              <w:rPr>
                <w:i/>
              </w:rPr>
              <w:t>kiss.boglarka1029@gmail.com</w:t>
            </w:r>
            <w:r w:rsidRPr="001067CD">
              <w:rPr>
                <w:i/>
              </w:rPr>
              <w:br/>
            </w:r>
            <w:r w:rsidR="00A96AEC">
              <w:t>Finance</w:t>
            </w:r>
            <w:r w:rsidR="00A96AEC">
              <w:br/>
            </w:r>
            <w:r w:rsidR="00E77B23">
              <w:t>MSc, 2. semester</w:t>
            </w:r>
          </w:p>
          <w:p w:rsidR="00C265CE" w:rsidRPr="009E5FF1" w:rsidRDefault="00E77B23" w:rsidP="00BA6BAF">
            <w:pPr>
              <w:pStyle w:val="Hallgatointezmeny-kar"/>
              <w:rPr>
                <w:b/>
                <w:caps/>
              </w:rPr>
            </w:pPr>
            <w:r>
              <w:t>Eötvös Loránd University</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Gabriella Lamanda</w:t>
            </w:r>
          </w:p>
          <w:p w:rsidR="00DB4822" w:rsidRDefault="00DB4822" w:rsidP="00BA6BAF">
            <w:pPr>
              <w:pStyle w:val="Konzulensektitulus"/>
            </w:pPr>
            <w:r w:rsidRPr="00DB4822">
              <w:t>professzor, ELTE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carbon price shock impact on the Hungarian banking system</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banking system, carbon tax, arbon proce shock, climate risk, credit risk</w:t>
      </w:r>
      <w:r>
        <w:t xml:space="preserve"/>
      </w:r>
    </w:p>
    <w:p>
      <w:pPr>
        <w:widowControl w:val="on"/>
        <w:pBdr/>
        <w:spacing w:before="240" w:after="240" w:line="240" w:lineRule="auto"/>
        <w:ind w:left="0" w:right="0"/>
        <w:jc w:val="left"/>
      </w:pPr>
      <w:r>
        <w:rPr>
          <w:color w:val="000000"/>
          <w:sz w:val="24"/>
          <w:szCs w:val="24"/>
        </w:rPr>
        <w:t xml:space="preserve">Climate change is one of the biggest global problems of our time. Thus, greening the financial system has become an essential economic policy tool for the climate-neutral economic transformation towards 2050, which is the goal of the 2015 Paris Agreement, and a new challenge for central banks, supervisors and market participants. This is an area worth addressing, as the risks arising from policies that respond to climate risks, such as carbon taxes, could negatively affect the real economy through the banking sector, leading to systemic undercapitalisation of banks, which could hamper economic growth.</w:t>
      </w:r>
      <w:r>
        <w:rPr>
          <w:color w:val="000000"/>
          <w:sz w:val="24"/>
          <w:szCs w:val="24"/>
        </w:rPr>
        <w:br/>
        <w:t xml:space="preserve">In this research, I summarise current regulations, methodologies, and the results of research on the subject. I present the types and measurement of climate risk. Finally, I will discuss carbon pricing mechanisms and methods for classifying climate risks. The data will be analysed by examining the sectoral distribution of bank exposures by NACE and CPRS sector, followed by the calculated BKI indices, which will provide an idea of the banking sector's sensitivity to climate risk.</w:t>
      </w:r>
      <w:r>
        <w:rPr>
          <w:color w:val="000000"/>
          <w:sz w:val="24"/>
          <w:szCs w:val="24"/>
        </w:rPr>
        <w:br/>
        <w:t xml:space="preserve">We then examine the impact on the Hungarian banking sector of the introduction of a possible carbon price training mechanism (carbon tax), one of the main policy instruments for the transition to a green economy. We study the impact of four different levels of carbon tax prices on the liquidity, insolvency potential and solvency of banks. Furthermore, the sensitivity of sectoral sectors to the tax rate. Finally, we summarise the results for the 9 credit institutions in Hungary and draw conclusions by assessing their stability in the face of possible carbon price shocks.</w:t>
      </w:r>
      <w:r>
        <w:rPr>
          <w:color w:val="000000"/>
          <w:sz w:val="24"/>
          <w:szCs w:val="24"/>
        </w:rPr>
        <w:br/>
        <w:t xml:space="preserve">The aim of the study is to provide a forecast of the corporate and banking risks posed by the introduction of a carbon tax The novelty of the study is the assessment and quantification of the risks of the domestic banking sector for corporate loan portfolios. Due to the risk focus of the study, it focuses on the risks and losses associated with the transition to a low-carbon economy.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604885">
    <w:multiLevelType w:val="hybridMultilevel"/>
    <w:lvl w:ilvl="0" w:tplc="884554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604885">
    <w:abstractNumId w:val="856048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25787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