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SALY</w:t>
            </w:r>
          </w:p>
          <w:p w:rsidR="00C275A3" w:rsidRDefault="00CA6B74" w:rsidP="00C275A3">
            <w:pPr>
              <w:pStyle w:val="Hallgatokepzes"/>
            </w:pPr>
            <w:r w:rsidRPr="001067CD">
              <w:rPr>
                <w:i/>
              </w:rPr>
              <w:t>saly.veronika@stud.uni-nke.hu</w:t>
            </w:r>
            <w:r w:rsidRPr="001067CD">
              <w:rPr>
                <w:i/>
              </w:rPr>
              <w:br/>
            </w:r>
            <w:r w:rsidR="00A96AEC">
              <w:t>International Security and Defence Policy bachelor programme</w:t>
            </w:r>
            <w:r w:rsidR="00A96AEC">
              <w:br/>
            </w:r>
            <w:r w:rsidR="00E77B23">
              <w:t>BA, 2.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Sándor Dragon Colonel </w:t>
            </w:r>
          </w:p>
          <w:p w:rsidR="00DB4822" w:rsidRDefault="00DB4822" w:rsidP="00BA6BAF">
            <w:pPr>
              <w:pStyle w:val="Konzulensektitulus"/>
            </w:pPr>
            <w:r w:rsidRPr="00DB4822">
              <w:t>senior lecturer,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organisational performance evaluation's law enforcement indicators on public service and protection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Performance assessment; road safety; public safety; organisation; indicator</w:t>
      </w:r>
      <w:r>
        <w:t xml:space="preserve"/>
      </w:r>
    </w:p>
    <w:p>
      <w:pPr>
        <w:widowControl w:val="on"/>
        <w:pBdr/>
        <w:spacing w:before="240" w:after="240" w:line="240" w:lineRule="auto"/>
        <w:ind w:left="0" w:right="0"/>
        <w:jc w:val="left"/>
      </w:pPr>
      <w:r>
        <w:rPr>
          <w:color w:val="000000"/>
          <w:sz w:val="24"/>
          <w:szCs w:val="24"/>
        </w:rPr>
        <w:t xml:space="preserve">Performance evaluation has been present in human activities since the 3rd century, first in industry and then in public administration. In Hungary it emerged after the change of regime, gradually converging with Western models. The employment status of the professional staff of the armed forces was regulated first by Act XLIII of 1996 and then by Act XLII of 2015. However, organisational performance evaluation was already present before the 2013 legislative foundations.</w:t>
      </w:r>
      <w:r>
        <w:rPr>
          <w:color w:val="000000"/>
          <w:sz w:val="24"/>
          <w:szCs w:val="24"/>
        </w:rPr>
        <w:br/>
        <w:t xml:space="preserve">Performance targets and minima are set each year at local, regional and central level. These include, for example, improving the public's perception of public safety, enhancing the image of the police, and ensuring major incidents. Evaluation is at organisational and individual level. The organisational performance evaluation covers the areas of criminal and public order protection, while the individual evaluation covers competences, development objectives and, in the case of managers, strategic requirements. Individual and organisational performance appraisal are closely linked, so that the individual takes an interest in the performance of the organisation, which has an impact on his/her career and performance rewards.</w:t>
      </w:r>
      <w:r>
        <w:rPr>
          <w:color w:val="000000"/>
          <w:sz w:val="24"/>
          <w:szCs w:val="24"/>
        </w:rPr>
        <w:br/>
        <w:t xml:space="preserve">In my research, I investigated the impact of organizational performance appraisal indicators of policing on public service and public policing by formulating four hypotheses:</w:t>
      </w:r>
      <w:r>
        <w:rPr>
          <w:color w:val="000000"/>
          <w:sz w:val="24"/>
          <w:szCs w:val="24"/>
        </w:rPr>
        <w:br/>
        <w:t xml:space="preserve">1. law enforcement minimums, set by increasingly complex mathematical calculations, cannot be effectively followed by personnel while maintaining the legality and professionalism of the measures.</w:t>
      </w:r>
      <w:r>
        <w:rPr>
          <w:color w:val="000000"/>
          <w:sz w:val="24"/>
          <w:szCs w:val="24"/>
        </w:rPr>
        <w:br/>
        <w:t xml:space="preserve">2. the 2023 transport indicators contain unrealistic targets.</w:t>
      </w:r>
      <w:r>
        <w:rPr>
          <w:color w:val="000000"/>
          <w:sz w:val="24"/>
          <w:szCs w:val="24"/>
        </w:rPr>
        <w:br/>
        <w:t xml:space="preserve">3. The tightening police minimum indicators affect the subjective public perception of safety.</w:t>
      </w:r>
      <w:r>
        <w:rPr>
          <w:color w:val="000000"/>
          <w:sz w:val="24"/>
          <w:szCs w:val="24"/>
        </w:rPr>
        <w:br/>
        <w:t xml:space="preserve">4. Traffic enforcement indicators meet the road safety expectations of the EU White Paper.</w:t>
      </w:r>
      <w:r>
        <w:rPr>
          <w:color w:val="000000"/>
          <w:sz w:val="24"/>
          <w:szCs w:val="24"/>
        </w:rPr>
        <w:br/>
        <w:t xml:space="preserve">The hypotheses have been tested and evaluated on the basis of statistical data from the last five years, establishing their validity or refutation.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899053">
    <w:multiLevelType w:val="hybridMultilevel"/>
    <w:lvl w:ilvl="0" w:tplc="142531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899053">
    <w:abstractNumId w:val="938990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03480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