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MIHÁLYI</w:t>
            </w:r>
          </w:p>
          <w:p w:rsidR="00C275A3" w:rsidRDefault="00CA6B74" w:rsidP="00C275A3">
            <w:pPr>
              <w:pStyle w:val="Hallgatokepzes"/>
            </w:pPr>
            <w:r w:rsidRPr="001067CD">
              <w:rPr>
                <w:i/>
              </w:rPr>
              <w:t>mihalyizsolt80@gmail.com</w:t>
            </w:r>
            <w:r w:rsidRPr="001067CD">
              <w:rPr>
                <w:i/>
              </w:rPr>
              <w:br/>
            </w:r>
            <w:r w:rsidR="00A96AEC">
              <w:t>Master of Business Administration</w:t>
            </w:r>
            <w:r w:rsidR="00A96AEC">
              <w:br/>
            </w:r>
            <w:r w:rsidR="00E77B23">
              <w:t>MSc, 4. semester</w:t>
            </w:r>
          </w:p>
          <w:p w:rsidR="00C265CE" w:rsidRPr="009E5FF1" w:rsidRDefault="00E77B23" w:rsidP="00BA6BAF">
            <w:pPr>
              <w:pStyle w:val="Hallgatointezmeny-kar"/>
              <w:rPr>
                <w:b/>
                <w:caps/>
              </w:rPr>
            </w:pPr>
            <w:r>
              <w:t>Budapest Metropolitan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Vera Alpar PhD EdD</w:t>
            </w:r>
          </w:p>
          <w:p w:rsidR="00DB4822" w:rsidRDefault="00DB4822" w:rsidP="00BA6BAF">
            <w:pPr>
              <w:pStyle w:val="Konzulensektitulus"/>
            </w:pPr>
            <w:r w:rsidRPr="00DB4822">
              <w:t>associate professor, KJE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Competitiveness in Hungarian higher education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 career; success; sustainability; labor</w:t>
      </w:r>
      <w:r>
        <w:t xml:space="preserve"/>
      </w:r>
    </w:p>
    <w:p>
      <w:pPr>
        <w:widowControl w:val="on"/>
        <w:pBdr/>
        <w:spacing w:before="240" w:after="240" w:line="240" w:lineRule="auto"/>
        <w:ind w:left="0" w:right="0"/>
        <w:jc w:val="left"/>
      </w:pPr>
      <w:r>
        <w:rPr>
          <w:color w:val="000000"/>
          <w:sz w:val="24"/>
          <w:szCs w:val="24"/>
        </w:rPr>
        <w:t xml:space="preserve">During the period of the bachelor's and master's courses, I wrote several TDK (Scientific Student Circle) theses and developed one of them into a master's thesis. For me, my master's thesis thus became of a higher standard and more scientific, and I used new methods of research, analysis, and investigation as a result. After that, my consultant and I decided to enter the TDK competition with the thesis.</w:t>
      </w:r>
    </w:p>
    <w:p>
      <w:pPr>
        <w:widowControl w:val="on"/>
        <w:pBdr/>
        <w:spacing w:before="240" w:after="240" w:line="240" w:lineRule="auto"/>
        <w:ind w:left="0" w:right="0"/>
        <w:jc w:val="left"/>
      </w:pPr>
      <w:r>
        <w:rPr>
          <w:color w:val="000000"/>
          <w:sz w:val="24"/>
          <w:szCs w:val="24"/>
        </w:rPr>
        <w:t xml:space="preserve">The selected and proposed research topic "Competitiveness in Hungarian higher education" is very relevant these days. Since my previous research (April 2021), the importance of the fact has only increased. Because the pandemic situation of previous years and its circumstances put new rules before the institutions. An example is the possibility and speed of switching to online education.</w:t>
      </w:r>
    </w:p>
    <w:p>
      <w:pPr>
        <w:widowControl w:val="on"/>
        <w:pBdr/>
        <w:spacing w:before="240" w:after="240" w:line="240" w:lineRule="auto"/>
        <w:ind w:left="0" w:right="0"/>
        <w:jc w:val="left"/>
      </w:pPr>
      <w:r>
        <w:rPr>
          <w:color w:val="000000"/>
          <w:sz w:val="24"/>
          <w:szCs w:val="24"/>
        </w:rPr>
        <w:t xml:space="preserve">In my opinion, nowadays, the selection of an institution during the admission process is largely based on the name and, consequently, its reputation, in other words, its Brand value. This is not necessarily a bad way for students to choose, but it would be worthwhile to examine and explore other options. This may also mean that several other higher education institutions teach that major, and it would be worthwhile to visit them and find out about the training there. But it can also mean that competitive education is taking place at other universities, but the method of education is not necessarily the same. It could also be said in marketing language that there is competition on the market for students, the choice is up to them. As an extension of the research, I also conducted focus group research in two institutions. On this occasion, I also examined school choice habits, for example: what external and internal factors and influences affect students when choosing, and what motivating and influencing factors can be during their decision making.</w:t>
      </w:r>
    </w:p>
    <w:p>
      <w:pPr>
        <w:widowControl w:val="on"/>
        <w:pBdr/>
        <w:spacing w:before="240" w:after="240" w:line="240" w:lineRule="auto"/>
        <w:ind w:left="0" w:right="0"/>
        <w:jc w:val="left"/>
      </w:pPr>
      <w:r>
        <w:rPr>
          <w:color w:val="000000"/>
          <w:sz w:val="24"/>
          <w:szCs w:val="24"/>
        </w:rPr>
        <w:t xml:space="preserve">The result speaks for itself. The result of the research was also interesting because it turned out that the majority of the students wanted to get answers to these questions during career counseling. In my opinion, career selection is an event that is of great importance in the student's career, since he has to make an important decision, so the information must be appropriate. Of course, I was not given the go-ahead by the institutions to examine the institution, as this is quite a sensitive area and contains internal information (maintaining competitiveness).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88213">
    <w:multiLevelType w:val="hybridMultilevel"/>
    <w:lvl w:ilvl="0" w:tplc="41088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88213">
    <w:abstractNumId w:val="989882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164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