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TIBOR SIMAI</w:t>
            </w:r>
          </w:p>
          <w:p w:rsidR="00C275A3" w:rsidRDefault="00CA6B74" w:rsidP="00C275A3">
            <w:pPr>
              <w:pStyle w:val="Hallgatokepzes"/>
            </w:pPr>
            <w:r w:rsidRPr="001067CD">
              <w:rPr>
                <w:i/>
              </w:rPr>
              <w:t>bencesimai@gmail.com</w:t>
            </w:r>
            <w:r w:rsidRPr="001067CD">
              <w:rPr>
                <w:i/>
              </w:rPr>
              <w:br/>
            </w:r>
            <w:r w:rsidR="00A96AEC">
              <w:t>Business Administration and Management, General</w:t>
            </w:r>
            <w:r w:rsidR="00A96AEC">
              <w:br/>
            </w:r>
            <w:r w:rsidR="00E77B23">
              <w:t>BSc, 7.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Márton Tamás Csanády PhD</w:t>
            </w:r>
          </w:p>
          <w:p w:rsidR="00DB4822" w:rsidRDefault="00DB4822" w:rsidP="00BA6BAF">
            <w:pPr>
              <w:pStyle w:val="Konzulensektitulus"/>
            </w:pPr>
            <w:r w:rsidRPr="00DB4822">
              <w:t>Full-time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HUNGARY’S COMPETITIVENESS IN INTERNATIONAL COMPRASION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competitiveness, motivation, expenditure</w:t>
      </w:r>
      <w:r>
        <w:t xml:space="preserve"/>
      </w:r>
    </w:p>
    <w:p>
      <w:pPr>
        <w:widowControl w:val="on"/>
        <w:pBdr/>
        <w:spacing w:before="240" w:after="240" w:line="240" w:lineRule="auto"/>
        <w:ind w:left="0" w:right="0"/>
        <w:jc w:val="left"/>
      </w:pPr>
      <w:r>
        <w:rPr>
          <w:color w:val="000000"/>
          <w:sz w:val="24"/>
          <w:szCs w:val="24"/>
        </w:rPr>
        <w:t xml:space="preserve">Competitiveness, a phrase that is part of our everyday life, that we hear and see in every segment of the press. It measures a national economy in both narrow and broad terms. It is a kind of umbrella term, which is expanded from time to time to include new areas, so that competitiveness can be measured in an even broader way and, in turn, provides a ranking for the countries participating in the measurement. In my thesis, I am looking for answers to the question of how Hungary's competitiveness situation has evolved since 2010, when technological development began to take off and accelerate in earnest. This period, which already contains so much data and information, allows me to compare the competitiveness situation of Hungary with fourteen other countries in terms of economic performance, human capital and infrastructure. In my opinion, these are the factors that form the basis of the competitiveness of a national economy and if a country does not place sufficient emphasis on these areas, it could lose its competitiveness in the long term.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61721">
    <w:multiLevelType w:val="hybridMultilevel"/>
    <w:lvl w:ilvl="0" w:tplc="60297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61721">
    <w:abstractNumId w:val="63361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02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