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ANDORFI ISTVÁN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andorfi.istvan@reak.bme.hu</w:t>
            </w:r>
            <w:r w:rsidRPr="001067CD">
              <w:rPr>
                <w:i/>
              </w:rPr>
              <w:br/>
            </w:r>
            <w:r w:rsidR="00A96AEC">
              <w:t>Fizikus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Kis Dániel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Radioaktív bomlás és egy "furcsa" kvantummechanika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radioaktivitás; alagúteffektus; nem-hermitikus; izotón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radioaktív bomlás az atommag-átalakulások spontán folyamata. Az anyamagból tipikusan valamilyen részecske távozik, és a mag egy másik atommaggá alakul a megmaradási tételeknek megfelelően. A bomlásokat a kibocsátott részecske karakterizálja. Alfa-bomlásról beszélünk, ha az anyamagból egy hélium atommag távozik. [1]</w:t>
      </w:r>
      <w:r>
        <w:rPr>
          <w:color w:val="000000"/>
          <w:sz w:val="24"/>
          <w:szCs w:val="24"/>
        </w:rPr>
        <w:br/>
        <w:t xml:space="preserve">Már a kvantummechanika hajnalán kiderült, hogy az alfa-bomlás nem kezelhető a standard hermitikus kvantummechanika keretei között, hanem ennek nem-hermitikus kiterjesztését igényli. [2]</w:t>
      </w:r>
      <w:r>
        <w:rPr>
          <w:color w:val="000000"/>
          <w:sz w:val="24"/>
          <w:szCs w:val="24"/>
        </w:rPr>
        <w:br/>
        <w:t xml:space="preserve">Nem-hermitikus kvantummechanikáról beszélünk, ha a rendszerben bizonyos dinamikai mennyiségeket ábrázoló operátorok (pl. a Hamilton operátor) ilyen tulajdonságúak, következésképpen sajátértékeik komplex (azaz nem feltétlenül valós) számok. A bomlásnál a véges élettartamokat a komplex energia képzetes részéből származtatjuk. [3]</w:t>
      </w:r>
      <w:r>
        <w:rPr>
          <w:color w:val="000000"/>
          <w:sz w:val="24"/>
          <w:szCs w:val="24"/>
        </w:rPr>
        <w:br/>
        <w:t xml:space="preserve">Ebben a dolgozatban egy speciális transzformációs eljárást, a komplex skálázást ismertetem, melynek segítségével kivitelezhető nem-hermitikus rendszereket (ahol a nem-hermitikusság adódhat a Schrödinger egyenlet megoldásának tisztán kimenő határfeltételre való illesztéséből) leíró operátorok (Hamilton-operátor) egy olyan "saját" koordináta rendszerükbe való transzformálása, ahol a nem-hermitikus tulajdonságok explicite láthatóvá válnak.</w:t>
      </w:r>
      <w:r>
        <w:rPr>
          <w:color w:val="000000"/>
          <w:sz w:val="24"/>
          <w:szCs w:val="24"/>
        </w:rPr>
        <w:br/>
        <w:t xml:space="preserve">Vizsgálom e transzformáció matematikai tulajdonságait, valamint közelítő numerikus eljárások segítéségével kiszámítom a komplex skálázott, nem-hermitikus operátor mátrixelemeit, és sajátértékeit.</w:t>
      </w:r>
      <w:r>
        <w:rPr>
          <w:color w:val="000000"/>
          <w:sz w:val="24"/>
          <w:szCs w:val="24"/>
        </w:rPr>
        <w:br/>
        <w:t xml:space="preserve">Egy egyszerűsített modellen szemléltetem a komplex skálázás legfontosabb matematikai tulajdonságait, majd egy, a magfizika szempontjából releváns potenciált vizsgálva a mérési eredményekhez történő paraméterillesztéssel ismertetek egy eljárást izotón atommagok felezési idejének becslésére.</w:t>
      </w:r>
      <w:r>
        <w:rPr>
          <w:color w:val="000000"/>
          <w:sz w:val="24"/>
          <w:szCs w:val="24"/>
        </w:rPr>
        <w:br/>
        <w:t xml:space="preserve">A dolgozatban bemutatott módszer bizonyos kiegészítésekkel alkalmazható az atommag lézertérrel való kölcsönhatásának vizsgálatára, és az intenzív koherens elektromágneses tér felezési időt befolyásoló hatásának kimutatására. [4], [5]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K. S. Krane. Introductory nuclear physics. Wiley, New York, NY, (1988).</w:t>
      </w:r>
      <w:r>
        <w:rPr>
          <w:color w:val="000000"/>
          <w:sz w:val="24"/>
          <w:szCs w:val="24"/>
        </w:rPr>
        <w:br/>
        <w:t xml:space="preserve">[2] G. Gamow, Zeitschrift für Physik, 51:204–212, (1928).</w:t>
      </w:r>
      <w:r>
        <w:rPr>
          <w:color w:val="000000"/>
          <w:sz w:val="24"/>
          <w:szCs w:val="24"/>
        </w:rPr>
        <w:br/>
        <w:t xml:space="preserve">[3] N. Moiseyev. Non-Hermitian Quantum Mechanics. Cambridge University Press, (2011).</w:t>
      </w:r>
      <w:r>
        <w:rPr>
          <w:color w:val="000000"/>
          <w:sz w:val="24"/>
          <w:szCs w:val="24"/>
        </w:rPr>
        <w:br/>
        <w:t xml:space="preserve">[4] R. Szilvási and D. P. Kis. Journal of Physics A: Mathematical and Theoretical, 55(27):275301, (2022).</w:t>
      </w:r>
      <w:r>
        <w:rPr>
          <w:color w:val="000000"/>
          <w:sz w:val="24"/>
          <w:szCs w:val="24"/>
        </w:rPr>
        <w:br/>
        <w:t xml:space="preserve">[5] R. Szilvási and D. P. Kis, Journal of Physics G 51(5):055101, (2024).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304929">
    <w:multiLevelType w:val="hybridMultilevel"/>
    <w:lvl w:ilvl="0" w:tplc="411771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304929">
    <w:abstractNumId w:val="493049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52583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