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ANDORFI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andorfi.istvan@reak.bme.hu</w:t>
            </w:r>
            <w:r w:rsidRPr="001067CD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Asztalos Örs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Szintetikus diagnosztika-alapú eljárás a HESEL turbulenciakód validációjához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tokamak; filamentum; diagnosztika; modellezés;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nukleáris fúzió egyik megvalósítása mágnesesen összetartott, nagyságrendileg százmillió kelvines hőmérsékletű termikus plazmában történik.</w:t>
      </w:r>
      <w:r>
        <w:rPr>
          <w:color w:val="000000"/>
          <w:sz w:val="24"/>
          <w:szCs w:val="24"/>
        </w:rPr>
        <w:br/>
        <w:t xml:space="preserve">A határréteg plazma (SOL) a mágnesesen összetartott régión kívül, nyílt erővonalakon helyezkedik el, és kapcsolatot teremt a plazma és az azt határoló felületek között. A SOL viselkedése befolyásolja a varható hőterhelést a plazmát határoló felületeken, továbbá jellegét meghatározza a benne fellépő, filamentumoknak nevezett sűrűség-fluktuációk dinamikája. [1]</w:t>
      </w:r>
      <w:r>
        <w:rPr>
          <w:color w:val="000000"/>
          <w:sz w:val="24"/>
          <w:szCs w:val="24"/>
        </w:rPr>
        <w:br/>
        <w:t xml:space="preserve">A plazmafizikai kutatások kivitelezéséhez elengedhetetlenek a diagnosztikai eljárások. Ezek egyike a nyalábemissziós spektroszkópia (BES) [2], mely során egy monoenergiás semleges atomnyalábot juttatnak a plazmába, ahol a nyalábatomok a plazmarészecskékkel való ütközések során gerjesztődnek, majd karakterisztikus hullámhosszakon spontán módon fotonokat emittálnak. Egy megfigyelőrendszer detektálja az emittált fotonfluxust, melynek intenzitása és térbeli eloszlása alapján következtethető a plazma sűrűségprofilja illetve annak fluktuációja. A nyalábintenzitás a plazma belseje felé haladva csökken, ennek megfelelően a BES-t főként plazmaszél-diagnosztikaként alkalmazzák, ennélfogva kiválóan alkalmas SOL-filamentumok detektálására.</w:t>
      </w:r>
      <w:r>
        <w:rPr>
          <w:color w:val="000000"/>
          <w:sz w:val="24"/>
          <w:szCs w:val="24"/>
        </w:rPr>
        <w:br/>
        <w:t xml:space="preserve">A fúziós kutatások szempontjából igen jövedelmezőnek adódik mind a plazmafizikai jelenségek, mind a mérési eljárások számítógépes modellezése. A filamentáris jelenségek szempontjából a plazmában fellépő turbulens transzport vizsgálata elsődleges fontosságú. Ilyen numerikus modellezést valósít meg a HESEL [3], mely egy kétfolyadék-elméleten alapuló 2D-s turbulenciakód.</w:t>
      </w:r>
      <w:r>
        <w:rPr>
          <w:color w:val="000000"/>
          <w:sz w:val="24"/>
          <w:szCs w:val="24"/>
        </w:rPr>
        <w:br/>
        <w:t xml:space="preserve">A BES modellezése elősegíti a detektált fizikai jelenségek értelmezését, illetve számszerűsíti a dignosztika képességének korlátait [4]. A RENATE egy, a BME NTI által fejlesztett teljes háromdimenziós BES szintetikus diagnosztikai kód.</w:t>
      </w:r>
      <w:r>
        <w:rPr>
          <w:color w:val="000000"/>
          <w:sz w:val="24"/>
          <w:szCs w:val="24"/>
        </w:rPr>
        <w:br/>
        <w:t xml:space="preserve">A dolgozatban egy átfogó, a filamentáris dinamika szempontjából releváns paramétereken alapuló eljárást ismertetek a RENATE szintetikus diagnosztika, és az ASDEX-Upgrade tokamak Li-BES rendszerén végrehajtott mérések eredményeit felhasználva, melynek alkalmazása egy újabb lépést jelenthet a HESEL turbulenciakód, és az ebben megvalósított fizikai modell validálása felé.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G. Birkenmeier et al., PPCF, 56(7):075019, (2014).</w:t>
      </w:r>
      <w:r>
        <w:rPr>
          <w:color w:val="000000"/>
          <w:sz w:val="24"/>
          <w:szCs w:val="24"/>
        </w:rPr>
        <w:br/>
        <w:t xml:space="preserve">[2] D. M. Thomas et al., FST, 53(2):487–527, (2008).</w:t>
      </w:r>
      <w:r>
        <w:rPr>
          <w:color w:val="000000"/>
          <w:sz w:val="24"/>
          <w:szCs w:val="24"/>
        </w:rPr>
        <w:br/>
        <w:t xml:space="preserve">[3] J. Madsen et al., PoP, 23(3):032306, (2016).</w:t>
      </w:r>
      <w:r>
        <w:rPr>
          <w:color w:val="000000"/>
          <w:sz w:val="24"/>
          <w:szCs w:val="24"/>
        </w:rPr>
        <w:br/>
        <w:t xml:space="preserve">[4] D. Guszejnov et al., RSI, 83(11):113501, (2012).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926530">
    <w:multiLevelType w:val="hybridMultilevel"/>
    <w:lvl w:ilvl="0" w:tplc="515990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926530">
    <w:abstractNumId w:val="769265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93175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