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DÉVAI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greta.devai@gmail.com</w:t>
            </w:r>
            <w:r w:rsidRPr="001067CD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Gócza Elen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Tokodyné Szabadi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MATE GBI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Fejlődés specifikus mikroRNS-ek feltérképezése nyúl embriókban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mikroRNS; biomarkerek; nyúlembrió; embrióminőség; IVF (in vitro fertilizáció)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jelentős fejlődésen mentek keresztül a humán asszisztált reprodukciós technológiák, azonban az in vitro fertilizáció és embriótranszfer (IVF-ET) kezelések sikerességi rátája továbbra is csupán 30% körül mozog. A program eredménytelensége az esetek jelentős százalékában beágyazódási problémákra vezethető vissza, melyben (az endometrium gyenge receptivitása mellett) az embrió elégtelen minősége játszik döntő szerepet.</w:t>
      </w:r>
      <w:r>
        <w:rPr>
          <w:color w:val="000000"/>
          <w:sz w:val="24"/>
          <w:szCs w:val="24"/>
        </w:rPr>
        <w:br/>
        <w:t xml:space="preserve">A korai embrionális fejlődés során számos mikroRNS (miRNS) van jelen az embrión belül és annak környezetében, melyek jelentős biológiai folyamatokban szerepet játszó gének expresszióját képesek poszt-transzkripcionálisan szabályozni. Egyes miRNS-ek az embrió fejlettségi állapotától függően eltérő, jellegzetes expressziós mintázatokat mutatnak, mely molekuláris változás nem csak az embrión belül, de az in vitro tenyésztett embriók tenyésztőmédiumában is tetten érhetők.</w:t>
      </w:r>
      <w:r>
        <w:rPr>
          <w:color w:val="000000"/>
          <w:sz w:val="24"/>
          <w:szCs w:val="24"/>
        </w:rPr>
        <w:br/>
        <w:t xml:space="preserve">Munkánk célja egyrészt egy olyan, finomabb RNS-detektálási protokoll kidolgozása, mely alkalmas 4- és 6-napos nyúlembriók tenyésztőmédiumában (illetve magukban az embriókban) jelen lévő miRNS-ek kimutatására, másrészt pedig hét humán fejlődésspecifikus miRNS esetén annak megállapítása, hogy azok alkalmasak-e in vitro tenyésztett nyúlembriók életképességének noninvazív megítélésére.</w:t>
      </w:r>
      <w:r>
        <w:rPr>
          <w:color w:val="000000"/>
          <w:sz w:val="24"/>
          <w:szCs w:val="24"/>
        </w:rPr>
        <w:br/>
        <w:t xml:space="preserve">A megfelelő miRNS-detektálási eljárás kidolgozásához először két RNS-izoláló kit hatékonyságát vetettük össze annak megállapítására, mely segítségével juthatunk értékelhető miRNS-expressziós adatokhoz az erősen limitált mennyiségű mintákból. Emellett szintén fontos része volt az új protokoll kidolgozásának, hogy a médiumminták esetén az RNS-izolálás lépését kihagytuk, s így a folyamat végén a médiumból is elegendő mennyiségben jutottunk hozzá a vizsgálandó miRNS-ekhez.</w:t>
      </w:r>
      <w:r>
        <w:rPr>
          <w:color w:val="000000"/>
          <w:sz w:val="24"/>
          <w:szCs w:val="24"/>
        </w:rPr>
        <w:br/>
        <w:t xml:space="preserve">A hét humán miRNS-primer tesztelése során azt láttuk, hogy nem mindegyik alkalmas miRNS-ek detektálására nyúlembriók esetében, az öt működő primer segítségével azonban olyan miRNS-kifejeződési mintázatokat kaptunk eredményül, melyek alkalmasak voltak az embriók fejlettségi állapot és minőség alapján történő, közelítő osztályozására.</w:t>
      </w:r>
      <w:r>
        <w:rPr>
          <w:color w:val="000000"/>
          <w:sz w:val="24"/>
          <w:szCs w:val="24"/>
        </w:rPr>
        <w:br/>
        <w:t xml:space="preserve">Az új RNS-detektálási módszer, illetve a fejlődésspecifikus miRNS-ek potenciális biomarkerekként való használhatóságának megerősítése reményeink szerint végső soron a humán asszisztált reprodukciós eljárások során is segítséget nyújthat a legéletképesebb embriók kiválasztásához, s nagyban megnövelheti a sikeres beágyazódás és az egészséges terhesség létrejöttének és megtartásának esélyét.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28566">
    <w:multiLevelType w:val="hybridMultilevel"/>
    <w:lvl w:ilvl="0" w:tplc="464025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28566">
    <w:abstractNumId w:val="52028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929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