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VARGA</w:t>
            </w:r>
          </w:p>
          <w:p w:rsidR="00C275A3" w:rsidRDefault="00CA6B74" w:rsidP="00C275A3">
            <w:pPr>
              <w:pStyle w:val="Hallgatokepzes"/>
            </w:pPr>
            <w:r w:rsidRPr="001067CD">
              <w:rPr>
                <w:i/>
              </w:rPr>
              <w:t>vargamte2000@gmail.com</w:t>
            </w:r>
            <w:r w:rsidRPr="001067CD">
              <w:rPr>
                <w:i/>
              </w:rPr>
              <w:br/>
            </w:r>
            <w:r w:rsidR="00A96AEC">
              <w:t>Accounting</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Gergő Tömöri</w:t>
            </w:r>
          </w:p>
          <w:p w:rsidR="00DB4822" w:rsidRDefault="00DB4822" w:rsidP="00BA6BAF">
            <w:pPr>
              <w:pStyle w:val="Konzulensektitulus"/>
            </w:pPr>
            <w:r w:rsidRPr="00DB4822">
              <w:t>senior lecturer ,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Monte-Carlo simulation in a polycrisis analysis of profitability of meat companies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Monte-Carlo simulation, profitability analysis, meat processing sector, DuPont analysis, polycrisis</w:t>
      </w:r>
      <w:r>
        <w:t xml:space="preserve"/>
      </w:r>
    </w:p>
    <w:p>
      <w:pPr>
        <w:widowControl w:val="on"/>
        <w:pBdr/>
        <w:spacing w:before="240" w:after="240" w:line="240" w:lineRule="auto"/>
        <w:ind w:left="0" w:right="0"/>
        <w:jc w:val="left"/>
      </w:pPr>
      <w:r>
        <w:rPr>
          <w:color w:val="000000"/>
          <w:sz w:val="24"/>
          <w:szCs w:val="24"/>
        </w:rPr>
        <w:t xml:space="preserve">The phenomenon of the early 2020s, described as polycrisis, which took shape in the presence of the already widespread swine and avian influenza, trade restrictions and border closures due to Covid-19, increasingly extreme weather anomalies such as droughts and the increase in feed and energy prices caused by the war in Ukraine. This anomaly was mostly concentrated in the Hungarian meat processing industry, which relies on agricultural sector. The aim of the study was to statistically estimate the expected profitability of Tranzit-Food Kft, which has a dominant presence in this industry in the Hungarian meat processing market, and its two competitors by establishing the distribution parameters of these polycrisis effects, profit influencing factors and uncertainty factors, using Monte-Carlo simulation for the year 2023.</w:t>
      </w:r>
      <w:r>
        <w:rPr>
          <w:color w:val="000000"/>
          <w:sz w:val="24"/>
          <w:szCs w:val="24"/>
        </w:rPr>
        <w:br/>
        <w:t xml:space="preserve">The research sought to determine whether the raw material shortages and changes in product perception caused by avian influenza and swine fever had a greater impact on Hungary's meat processing sector than the trade restrictions resulting from the COVID-19 pandemic. It also examined whether these trade restrictions and rising material costs had differing effects on the profitability of firms with varying sales structures.</w:t>
      </w:r>
      <w:r>
        <w:rPr>
          <w:color w:val="000000"/>
          <w:sz w:val="24"/>
          <w:szCs w:val="24"/>
        </w:rPr>
        <w:br/>
        <w:t xml:space="preserve">After 2020, significant differences emerged in the performance of the three companies. Returns on equity were differently affected by delayed trade restrictions for exporters, while exporters could better offset exchange rate risks from imports than their competitor that preferred domestic markets, which was able to take advantage of rising domestic inflation to achieve higher interest and sales revenues. The diverging performance of the three companies is illustrated by the simulation, which takes into account extreme changes between 2017-2022. The changes in this polycrisis period are undoubtedly observed in the estimated ROE of the companies. The simulation model, built on input distribution parameters reflecting both business practices and uncertainties of recent years, measured the relatively lowest probability of a negative future return on equity for the market leader, while its competitors with a more concentrated sales structure and thus limited sales growth could only recover losses on equity holders' investments at a much higher risk in years of continued polycrisis.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55047">
    <w:multiLevelType w:val="hybridMultilevel"/>
    <w:lvl w:ilvl="0" w:tplc="63852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55047">
    <w:abstractNumId w:val="873550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4543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