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balint.tomi26@gmail.com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KRISTÓF KATA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kristof.kata318@gmail.com</w:t>
            </w:r>
            <w:bookmarkStart w:id="1" w:name="_GoBack"/>
            <w:bookmarkEnd w:id="1"/>
            <w:r w:rsidRPr="001067CD">
              <w:br/>
            </w:r>
            <w:r w:rsidR="00C275A3">
              <w:t>kertészmérnök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Magyar Agrár- és Élettudományi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Intézet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Barkó György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MATE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növény nevelő kamra mesterséges Mars és Hold talajok agrotechnikai jellemzőinek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Mars; Hold; Növénynevelő kamra; Újrahasznosítás; Űrnövény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Intézetben az ESA által támogatott project keretében tengely és</w:t>
      </w:r>
      <w:r>
        <w:rPr>
          <w:color w:val="000000"/>
          <w:sz w:val="24"/>
          <w:szCs w:val="24"/>
        </w:rPr>
        <w:br/>
        <w:t xml:space="preserve">tömítés anyagok kopását vizsgáljuk különböző talajokban. Ezek között az ESA által</w:t>
      </w:r>
      <w:r>
        <w:rPr>
          <w:color w:val="000000"/>
          <w:sz w:val="24"/>
          <w:szCs w:val="24"/>
        </w:rPr>
        <w:br/>
        <w:t xml:space="preserve">preferált mesterséges Mars és Hold talaj, illetve hagyományos földi talaj (homok) is</w:t>
      </w:r>
      <w:r>
        <w:rPr>
          <w:color w:val="000000"/>
          <w:sz w:val="24"/>
          <w:szCs w:val="24"/>
        </w:rPr>
        <w:br/>
        <w:t xml:space="preserve">szerepel. A talajminták a tesztek után kidobásra kerülnek. A project keretében ezeket a</w:t>
      </w:r>
      <w:r>
        <w:rPr>
          <w:color w:val="000000"/>
          <w:sz w:val="24"/>
          <w:szCs w:val="24"/>
        </w:rPr>
        <w:br/>
        <w:t xml:space="preserve">kidobásra ítélt talajmintákat összegyűjtjük, és kísérleti növényeket termesztünk rajtuk.</w:t>
      </w:r>
      <w:r>
        <w:rPr>
          <w:color w:val="000000"/>
          <w:sz w:val="24"/>
          <w:szCs w:val="24"/>
        </w:rPr>
        <w:br/>
        <w:t xml:space="preserve">Erre a célra LED világítással rendelkező, zárt termesztő karma építése a hallgatók</w:t>
      </w:r>
      <w:r>
        <w:rPr>
          <w:color w:val="000000"/>
          <w:sz w:val="24"/>
          <w:szCs w:val="24"/>
        </w:rPr>
        <w:br/>
        <w:t xml:space="preserve">feladata, amelyben az újra felhasznált talajmintákon ehető növényeket termesztünk.</w:t>
      </w:r>
      <w:r>
        <w:rPr>
          <w:color w:val="000000"/>
          <w:sz w:val="24"/>
          <w:szCs w:val="24"/>
        </w:rPr>
        <w:br/>
        <w:t xml:space="preserve">A körforgásos gazdaság olyan tevékenységeket részesít előnyben, amelyek</w:t>
      </w:r>
      <w:r>
        <w:rPr>
          <w:color w:val="000000"/>
          <w:sz w:val="24"/>
          <w:szCs w:val="24"/>
        </w:rPr>
        <w:br/>
        <w:t xml:space="preserve">megőrzik az energia, munkaerő és alapanyagok értéket. A talaj ezen alapanyagok</w:t>
      </w:r>
      <w:r>
        <w:rPr>
          <w:color w:val="000000"/>
          <w:sz w:val="24"/>
          <w:szCs w:val="24"/>
        </w:rPr>
        <w:br/>
        <w:t xml:space="preserve">fontos, de időnként mellőzött komponense. A körforgásos gazdaság elkerüli a nem</w:t>
      </w:r>
      <w:r>
        <w:rPr>
          <w:color w:val="000000"/>
          <w:sz w:val="24"/>
          <w:szCs w:val="24"/>
        </w:rPr>
        <w:br/>
        <w:t xml:space="preserve">megújuló erőforrások használatát, megőrzi és fokozza a megújulókat. A projekt során</w:t>
      </w:r>
      <w:r>
        <w:rPr>
          <w:color w:val="000000"/>
          <w:sz w:val="24"/>
          <w:szCs w:val="24"/>
        </w:rPr>
        <w:br/>
        <w:t xml:space="preserve">megőrizzük a talajt és visszajuttatjuk az értékes tápanyagokat a talajba elősegítve a</w:t>
      </w:r>
      <w:r>
        <w:rPr>
          <w:color w:val="000000"/>
          <w:sz w:val="24"/>
          <w:szCs w:val="24"/>
        </w:rPr>
        <w:br/>
        <w:t xml:space="preserve">regenerációt és a talaj újragelhasználását. Kísérleti kamránk ennek demonstrálására</w:t>
      </w:r>
      <w:r>
        <w:rPr>
          <w:color w:val="000000"/>
          <w:sz w:val="24"/>
          <w:szCs w:val="24"/>
        </w:rPr>
        <w:br/>
        <w:t xml:space="preserve">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41406">
    <w:multiLevelType w:val="hybridMultilevel"/>
    <w:lvl w:ilvl="0" w:tplc="98437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41406">
    <w:abstractNumId w:val="69141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443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