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PATRÍCIA FANNI PORKOLÁB</w:t>
            </w:r>
          </w:p>
          <w:p w:rsidR="00C275A3" w:rsidRDefault="00CA6B74" w:rsidP="00C275A3">
            <w:pPr>
              <w:pStyle w:val="Hallgatokepzes"/>
            </w:pPr>
            <w:r w:rsidRPr="001067CD">
              <w:rPr>
                <w:i/>
              </w:rPr>
              <w:t>patricia.fanni98@gmail.com</w:t>
            </w:r>
            <w:r w:rsidRPr="001067CD">
              <w:rPr>
                <w:i/>
              </w:rPr>
              <w:br/>
            </w:r>
            <w:r w:rsidR="00A96AEC">
              <w:t>Leadership and Management</w:t>
            </w:r>
            <w:r w:rsidR="00A96AEC">
              <w:br/>
            </w:r>
            <w:r w:rsidR="00E77B23">
              <w:t>MSc, 4.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András Dániel PhD</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contexts of organizational and technological modernization of small and medium-sized enterprises operating in post-socialist countries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SME sector, equipments, organisation, level of development, modernisation</w:t>
      </w:r>
      <w:r>
        <w:t xml:space="preserve"/>
      </w:r>
    </w:p>
    <w:p>
      <w:pPr>
        <w:widowControl w:val="on"/>
        <w:pBdr/>
        <w:spacing w:before="240" w:after="240" w:line="240" w:lineRule="auto"/>
        <w:ind w:left="0" w:right="0"/>
        <w:jc w:val="left"/>
      </w:pPr>
      <w:r>
        <w:rPr>
          <w:color w:val="000000"/>
          <w:sz w:val="24"/>
          <w:szCs w:val="24"/>
        </w:rPr>
        <w:t xml:space="preserve">Micro, small and medium-sized enterprises are the engine of the economy in every economy. They account for 98-99% of the economy in terms of numbers, over two thirds of all employment in the labour market and contribute more than 50% of the value added at the level of the national economy. Their role in society is also important for catching up and is significant for social justice. More than 30 years after the change of regime and almost 20 years after the accession of our country (and 7 other Central and Eastern European countries) to the EU, I considered it important to examine how the situation of micro, small and medium-sized enterprises has evolved in the countries concerned and in other post-socialist countries. In terms of their numbers, they account for 98-99% of each economy, their share in the labour market is just over two-thirds of total employment, while their contribution to value added at the national economy level is over 50%. Their role in society is also important for catching up and is significant for social justice. More than 30 years after the change of regime and almost 20 years after the accession of our country (and 7 other Central and Eastern European countries) to the EU, I considered it important to examine how the situation of micro, small and medium-sized enterprises has evolved in the countries concerned and in other post-socialist countries.</w:t>
      </w:r>
      <w:r>
        <w:rPr>
          <w:color w:val="000000"/>
          <w:sz w:val="24"/>
          <w:szCs w:val="24"/>
        </w:rPr>
        <w:br/>
        <w:t xml:space="preserve">Following the introduction of the plan-based economy, private capital became more important, with more and more people believing that the way to prosperity was through their own businesses. More and more businesses were set up and tried to catch up, as they had to compete with foreign competitors in the market alongside their domestic counterparts. EU pre-accession programmes and, since 2004, EU co-financed projects have contributed to modernisation, while favourable credit conditions have also helped to acquire modern equipment, thereby improving productivity and efficiency. In the present research, I investigated the modernisation efforts of SMEs that were established immediately after the regime change in terms of assets and organisational processes. In the course of the research, 196 small and medium manufacturing enterprises in 15 post-socialist countries completed an electronic questionnaire. The survey identified the levels of development based on the average age of assets and the typical processes of the organisation, thus allowing a comparison between enterprises in each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76349">
    <w:multiLevelType w:val="hybridMultilevel"/>
    <w:lvl w:ilvl="0" w:tplc="24266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076349">
    <w:abstractNumId w:val="16076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2825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