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barbara.bodnar1999@gmail.com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Veres Adrienn Mercédesz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Antibakteriális és biofilm feltörő szerek hatásának vizsgálata az antimikrobiális rezisztencia terjedésére és biofilm épülésére Pseudomonas aeruginosa törzseken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Pseudomonas aeruginosa; otits externa; biofilm; eradikáció; rezisztencia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kutyák kimagasló arányban érkeznek fülészeti panaszokkal az állatorvosi rendelőbe.</w:t>
      </w:r>
      <w:r>
        <w:rPr>
          <w:color w:val="000000"/>
          <w:sz w:val="24"/>
          <w:szCs w:val="24"/>
        </w:rPr>
        <w:br/>
        <w:t xml:space="preserve">Ennek egyik leggyakoribb oka a külső hallójárat gyulladás, amelyet másodlagosan, a</w:t>
      </w:r>
      <w:r>
        <w:rPr>
          <w:color w:val="000000"/>
          <w:sz w:val="24"/>
          <w:szCs w:val="24"/>
        </w:rPr>
        <w:br/>
        <w:t xml:space="preserve">nagyszámban multirezisztens Pseudomonas aeruginosa baktérium okozhat, melyet rezisztencia</w:t>
      </w:r>
      <w:r>
        <w:rPr>
          <w:color w:val="000000"/>
          <w:sz w:val="24"/>
          <w:szCs w:val="24"/>
        </w:rPr>
        <w:br/>
        <w:t xml:space="preserve">mechanizmusai és biofilmépülési képessége miatt nehéz kezelni. Kutatásunk fő célja egy</w:t>
      </w:r>
      <w:r>
        <w:rPr>
          <w:color w:val="000000"/>
          <w:sz w:val="24"/>
          <w:szCs w:val="24"/>
        </w:rPr>
        <w:br/>
        <w:t xml:space="preserve">állatgyógyászati fülészetben használható potenciális szerkombináció vizsgálata volt, ahol a</w:t>
      </w:r>
      <w:r>
        <w:rPr>
          <w:color w:val="000000"/>
          <w:sz w:val="24"/>
          <w:szCs w:val="24"/>
        </w:rPr>
        <w:br/>
        <w:t xml:space="preserve">komponensek hatékony antibakteriális és potenciális biofilmfeltörő tulajdonsággal</w:t>
      </w:r>
      <w:r>
        <w:rPr>
          <w:color w:val="000000"/>
          <w:sz w:val="24"/>
          <w:szCs w:val="24"/>
        </w:rPr>
        <w:br/>
        <w:t xml:space="preserve">rendelkeznek és kombinációban való alkalmazásuk révén egymás hatékonyságát növelik. A</w:t>
      </w:r>
      <w:r>
        <w:rPr>
          <w:color w:val="000000"/>
          <w:sz w:val="24"/>
          <w:szCs w:val="24"/>
        </w:rPr>
        <w:br/>
        <w:t xml:space="preserve">marbofloxacin második generációs fluorokinolonként az egyik leghatékonyabb antibiotikum a</w:t>
      </w:r>
      <w:r>
        <w:rPr>
          <w:color w:val="000000"/>
          <w:sz w:val="24"/>
          <w:szCs w:val="24"/>
        </w:rPr>
        <w:br/>
        <w:t xml:space="preserve">P. aeruginosa elleni védekezésben. A geraniol egy monoterpén alkohol, mely kiváló</w:t>
      </w:r>
      <w:r>
        <w:rPr>
          <w:color w:val="000000"/>
          <w:sz w:val="24"/>
          <w:szCs w:val="24"/>
        </w:rPr>
        <w:br/>
        <w:t xml:space="preserve">biofilmellenes hatással bír. Az etilén-diamin-tetraecetsav (EDTA) fém kelátorként a</w:t>
      </w:r>
      <w:r>
        <w:rPr>
          <w:color w:val="000000"/>
          <w:sz w:val="24"/>
          <w:szCs w:val="24"/>
        </w:rPr>
        <w:br/>
        <w:t xml:space="preserve">marbofloxacin hatását potencírozni képes. A három hatóanyag, illetve ezek kettes, hármas</w:t>
      </w:r>
      <w:r>
        <w:rPr>
          <w:color w:val="000000"/>
          <w:sz w:val="24"/>
          <w:szCs w:val="24"/>
        </w:rPr>
        <w:br/>
        <w:t xml:space="preserve">kombinációinak antibakteriális és biofilmellenes hatását vizsgáltuk kutya külső hallójárat</w:t>
      </w:r>
      <w:r>
        <w:rPr>
          <w:color w:val="000000"/>
          <w:sz w:val="24"/>
          <w:szCs w:val="24"/>
        </w:rPr>
        <w:br/>
        <w:t xml:space="preserve">gyulladásából vett és biofilmtermelő kontroll P. aeruginosa törzseken. A minimum gátló</w:t>
      </w:r>
      <w:r>
        <w:rPr>
          <w:color w:val="000000"/>
          <w:sz w:val="24"/>
          <w:szCs w:val="24"/>
        </w:rPr>
        <w:br/>
        <w:t xml:space="preserve">koncentráció (MIC) vizsgálatával sorozatpasszálást végeztünk a biofilmtermelő P. aeruginosa</w:t>
      </w:r>
      <w:r>
        <w:rPr>
          <w:color w:val="000000"/>
          <w:sz w:val="24"/>
          <w:szCs w:val="24"/>
        </w:rPr>
        <w:br/>
        <w:t xml:space="preserve">ATCC® 27853™ törzsön. Megfigyeltük, hogy a biofilmellenes anyagokkal való kombinálás</w:t>
      </w:r>
      <w:r>
        <w:rPr>
          <w:color w:val="000000"/>
          <w:sz w:val="24"/>
          <w:szCs w:val="24"/>
        </w:rPr>
        <w:br/>
        <w:t xml:space="preserve">gátolja-e a rezisztencia terjedését marbofloxacinra nézve. Emellett kíváncsiak voltunk, hogy a</w:t>
      </w:r>
      <w:r>
        <w:rPr>
          <w:color w:val="000000"/>
          <w:sz w:val="24"/>
          <w:szCs w:val="24"/>
        </w:rPr>
        <w:br/>
        <w:t xml:space="preserve">P. aeruginosa antimikrobiális rezisztenciája összefüggésbe hozható-e a baktérium effluxpumpa funkciójával. Ehhez huszonkettő P. aeruginosa klinikai izolátumot és egy kontroll</w:t>
      </w:r>
      <w:r>
        <w:rPr>
          <w:color w:val="000000"/>
          <w:sz w:val="24"/>
          <w:szCs w:val="24"/>
        </w:rPr>
        <w:br/>
        <w:t xml:space="preserve">törzset (ATCC® 27853™) vizsgáltunk a hatóanyagokkal és kombinációikkal egy efflux-pumpa</w:t>
      </w:r>
      <w:r>
        <w:rPr>
          <w:color w:val="000000"/>
          <w:sz w:val="24"/>
          <w:szCs w:val="24"/>
        </w:rPr>
        <w:br/>
        <w:t xml:space="preserve">gátló (EPI) hatóanyag karbonil-cianid-3-klorofenilhidrazin (CCCP) jelenlétében és anélkül.</w:t>
      </w:r>
      <w:r>
        <w:rPr>
          <w:color w:val="000000"/>
          <w:sz w:val="24"/>
          <w:szCs w:val="24"/>
        </w:rPr>
        <w:br/>
        <w:t xml:space="preserve">Továbbá a hatóanyagok és kombinációik biofilmfeltörő tulajdonságát vizsgáltuk a P.</w:t>
      </w:r>
      <w:r>
        <w:rPr>
          <w:color w:val="000000"/>
          <w:sz w:val="24"/>
          <w:szCs w:val="24"/>
        </w:rPr>
        <w:br/>
        <w:t xml:space="preserve">aeruginosa ATCC® 27853™ törzs biofilmjén kristályibolya és MTS-formazán festési</w:t>
      </w:r>
      <w:r>
        <w:rPr>
          <w:color w:val="000000"/>
          <w:sz w:val="24"/>
          <w:szCs w:val="24"/>
        </w:rPr>
        <w:br/>
        <w:t xml:space="preserve">eljárásokkal. Kutatási eredményeink a hatóanyagok bizonyos kombinációi között</w:t>
      </w:r>
      <w:r>
        <w:rPr>
          <w:color w:val="000000"/>
          <w:sz w:val="24"/>
          <w:szCs w:val="24"/>
        </w:rPr>
        <w:br/>
        <w:t xml:space="preserve">szinergizmust, részleges szinergizmust vagy indifferens hatást tártak fel. A CCCP-vel végzett</w:t>
      </w:r>
      <w:r>
        <w:rPr>
          <w:color w:val="000000"/>
          <w:sz w:val="24"/>
          <w:szCs w:val="24"/>
        </w:rPr>
        <w:br/>
        <w:t xml:space="preserve">rezisztencia vizsgálati eredményeink alapján az antibakteriális ellenállóképesség hátterében</w:t>
      </w:r>
      <w:r>
        <w:rPr>
          <w:color w:val="000000"/>
          <w:sz w:val="24"/>
          <w:szCs w:val="24"/>
        </w:rPr>
        <w:br/>
        <w:t xml:space="preserve">nem efflux-pumpa funkciója áll a vizsgált izolátumok esetében az adott szerek jelenléte mellett.</w:t>
      </w:r>
      <w:r>
        <w:rPr>
          <w:color w:val="000000"/>
          <w:sz w:val="24"/>
          <w:szCs w:val="24"/>
        </w:rPr>
        <w:br/>
        <w:t xml:space="preserve">A biofilmfeltörést vizsgáló kísérletünk eredményei által arra következtettünk, hogy a vizsgált</w:t>
      </w:r>
      <w:r>
        <w:rPr>
          <w:color w:val="000000"/>
          <w:sz w:val="24"/>
          <w:szCs w:val="24"/>
        </w:rPr>
        <w:br/>
        <w:t xml:space="preserve">hatóanyagok és kombinációinak biofilmfeltörő hatása nem volt számottevően nagyobb a</w:t>
      </w:r>
      <w:r>
        <w:rPr>
          <w:color w:val="000000"/>
          <w:sz w:val="24"/>
          <w:szCs w:val="24"/>
        </w:rPr>
        <w:br/>
        <w:t xml:space="preserve">kombinációban való alkalmazáskor, mint önálló marbofloxacin használatakor.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19356">
    <w:multiLevelType w:val="hybridMultilevel"/>
    <w:lvl w:ilvl="0" w:tplc="71059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19356">
    <w:abstractNumId w:val="618193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081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