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horv.hundet.aron@gmail.com</w:t>
            </w:r>
            <w:r w:rsidRPr="001067CD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nagylétszámú házityúk állományokból izolált Enterococcus baktériumtörzsek ECOFF (Epidemiological cut-off value) értékének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Enterococcus; ECOFF; Házityúk;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antimikrobiális rezisztencia meghatározó tényezővé vált az emberiség jövője szempontjából, új kihívásokat állítva az állat- és humánegészségügy számára. Kutatásom középpontjában az Enterococcus nemzettség áll, amelynek közegészségügyi jelentősége nagy, kiváltképpen a multirezisztens és nozokomiális fertőzésekhez köthetően.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Korábban Magyarországon olyan átfogú tanulmány nem készült, ami a baromfiágazat kommenzalista Enterococcus törzseinek állat- és közegészségügyi szempontból jelentős antimikrobiális hatóanyagokkal szembeni érzékenységét vizsgálta országos és regionális szinten. Vizsgálataink során minimális gátló koncentráció (MIC) értékek meghatározását követően az eredmények felhasználásával epidemiológiai küszöbértékek (ECOFF) meghatározását végeztük el a vad-típusú és nem vad-típusú törzsek elkülönítése érdekében. Továbbá eredményeinket összehasonlítottuk humán rezisztencia adatokkal.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ECOFF-értékek tekintetében amoxicillin esetén 8 μg/ml értéket állapítottunk meg, ami egybevág a European Committee on Antimicrobial Susceptibility Testing (EUCAST) eredményeivel. Amoxicillin-klavulánsav esetén viszont magasabb értéket kaptunk (32 μg/ml), mint az EUCAST által megállapított 8 μg/ml érték. Doxiciklin esetén 2 μg/ml értéket kaptunk, szemben az EUCAST 0,5 μg/ml értékével. Florfenikol esetén eredményünk nagyon hasonló az EUCAST által meghatározott törésponthoz. Enrofloxacin esetén viszont nagyobb (16 μg/ml) értéket állapítottunk meg, szemben az EUCAST 0,5 μg/ml értékéhez. Vizsgáltuk a humán egészségügy számára tartalékolt vankomicin hatóanyagot is, ebben az esetben eredményeink egybevágtak az EUCAST eredményeivel (4 μg/ml). Regionális szinten jelentős eltéréseket figyeltünk meg, számos esetben a törzsek ECOFF-értéke kedvezőbb volt az országos, illetve az EUCAST értékeihez képest. A humán adatokkal összevetve az eredményeket, megállapíthatjuk, hogy a humán E. faecium törzsek ampicillin rezisztenciája csaknem teljes (98,5%), szemben az állati minták 21,44%-os értékével. Az életmentő vankomicin</w:t>
      </w:r>
      <w:r>
        <w:rPr>
          <w:color w:val="000000"/>
          <w:sz w:val="24"/>
          <w:szCs w:val="24"/>
        </w:rPr>
        <w:br/>
        <w:t xml:space="preserve">hatóanyaggal szembeni humán rezisztencia mértéke szintén meghaladja (43,6%) az állati eredetű mintákét (34,8%).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indokolt a rezisztencia regionális szintű monitorozása, valamint</w:t>
      </w:r>
      <w:r>
        <w:rPr>
          <w:color w:val="000000"/>
          <w:sz w:val="24"/>
          <w:szCs w:val="24"/>
        </w:rPr>
        <w:br/>
        <w:t xml:space="preserve">az ECOFF-értékek meghatározása is, hiszen a vad-típusú törzsek és a nem vad-típusú törzsek</w:t>
      </w:r>
      <w:r>
        <w:rPr>
          <w:color w:val="000000"/>
          <w:sz w:val="24"/>
          <w:szCs w:val="24"/>
        </w:rPr>
        <w:br/>
        <w:t xml:space="preserve">közötti töréspont megállapítása hozzájárulhat a hatékony dózis kiválasztásához, ezáltal</w:t>
      </w:r>
      <w:r>
        <w:rPr>
          <w:color w:val="000000"/>
          <w:sz w:val="24"/>
          <w:szCs w:val="24"/>
        </w:rPr>
        <w:br/>
        <w:t xml:space="preserve">megalapozva a kezelés hatékonyságát, minimalizálva a rezisztencia kialakulásának esélyét.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78276">
    <w:multiLevelType w:val="hybridMultilevel"/>
    <w:lvl w:ilvl="0" w:tplc="94038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78276">
    <w:abstractNumId w:val="29178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020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