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ROMÁN ISTVÁN LÁSZLÓ</w:t>
            </w:r>
          </w:p>
          <w:p w:rsidR="00C275A3" w:rsidRDefault="00CA6B74" w:rsidP="00C275A3">
            <w:pPr>
              <w:pStyle w:val="Hallgatokepzes"/>
            </w:pPr>
            <w:r w:rsidRPr="001067CD">
              <w:rPr>
                <w:i/>
              </w:rPr>
              <w:t>romanistvanlaszlo@gmail.com</w:t>
            </w:r>
            <w:r w:rsidRPr="001067CD">
              <w:rPr>
                <w:i/>
              </w:rPr>
              <w:br/>
            </w:r>
            <w:r w:rsidR="00A96AEC">
              <w:t>Állatorvosi</w:t>
            </w:r>
            <w:r w:rsidR="00A96AEC">
              <w:br/>
            </w:r>
            <w:r w:rsidR="00E77B23">
              <w:t>Osztatlan, 9. félév</w:t>
            </w:r>
          </w:p>
          <w:p w:rsidR="00C265CE" w:rsidRPr="009E5FF1" w:rsidRDefault="00E77B23" w:rsidP="00BA6BAF">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Kerek Ádám</w:t>
            </w:r>
          </w:p>
          <w:p w:rsidR="00DB4822" w:rsidRDefault="00DB4822" w:rsidP="00BA6BAF">
            <w:pPr>
              <w:pStyle w:val="Konzulensektitulus"/>
            </w:pPr>
            <w:r w:rsidRPr="00DB4822">
              <w:t>Egyetemi adjunktus,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Hazai nagylétszámú házityúk állományokból izolált Escherichia coli baktériumtörzsek ECOFF (Epidemiological cut-off value) értékének meghatározása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Escherichia coli; ECOFF; baromfi; antimikrobiális rezisztencia</w:t>
      </w:r>
      <w:r>
        <w:t xml:space="preserve"/>
      </w:r>
    </w:p>
    <w:p>
      <w:pPr>
        <w:widowControl w:val="on"/>
        <w:pBdr/>
        <w:spacing w:before="240" w:after="240" w:line="240" w:lineRule="auto"/>
        <w:ind w:left="0" w:right="0"/>
        <w:jc w:val="left"/>
      </w:pPr>
      <w:r>
        <w:rPr>
          <w:color w:val="000000"/>
          <w:sz w:val="24"/>
          <w:szCs w:val="24"/>
        </w:rPr>
        <w:t xml:space="preserve">Az antimikrobiális rezisztencia a 21. század vezető globális problémájává nőtte ki magát. Az állategészségügyben kiemelt jelentőséggel bír a vezető antibiotikum felhasználással rendelkező baromfiágazat. Kutatásunk során célul tűztük ki, hogy Magyarország hét régiójában reprezentatív módon gyűjtött nagylétszámú házityúk telepekről száj-garat üregi és kloáka tamponmintákból izolált kommenzalista Escherichia coli törzsek minimális gátló koncentráció (MIC) értékét határozzuk meg, az ezek kezelésében és közegészségügyi szempontból fontos hatóanyagokra nézve. Ezt követően eredményeink felhasználásával ún. Epidemiological cut-off value (ECOFF) értékeket állapítottunk meg országos és regionális szinten.</w:t>
      </w:r>
      <w:r>
        <w:rPr>
          <w:color w:val="000000"/>
          <w:sz w:val="24"/>
          <w:szCs w:val="24"/>
        </w:rPr>
        <w:br/>
        <w:t xml:space="preserve">Összesen 411 házityúk eredetű törzset vizsgáltunk 15-féle hatóanyagra nézve, amelynek során 6150 MIC-érték felhasználásával országos szinten amoxicillin-klavulánsav, imipenem, neomicin, spektinomicin, doxiciklin, florfenikol, tiamulin, enrofloxacin és kolisztin hatóanyagok ECOFF értékét határoztuk meg sikeresen. A kommenzalista törzsek rezisztencia értékeit összehasonlítottuk a klinikai esetekből gyűjtött (n=133) törzsek eredményeivel és a humán egészségügyből származó adatokkal (n=58 168). Eredményeink alapján amoxicillin-klavulánsav (128 μg/ml), imipenem (16 μg/ml), neomicin (2024 μg/ml), spektinomicin (512 μg/ml), doxiciklin (512 μg/ml), florfenikol (128 μg/ml), tiamulin (1024 μg/ml) és enrofloxacin (128 μg/ml) esetén országos szinten igen nagy ECOFF értékeket állapítottunk meg. Egyedül a kolisztin esetén kaptunk (4 μg/ml) nagyon hasonló eredményt az European Committee on Antimicrobial Susceptibility Testing (EUCAST) eredményeihez (2 μg/ml). A kommenzalista törzsek nagyon hasonló mértékű rezisztencia profilt mutattak az állati eredetű klinikai mintákkal összehasonlítva; a humán adatok esetén viszont csak az amoxicillin esetében kaptunk hasonló eredményeket, a többi hatóanyagnál a humán minták érzékenyebbnek bizonyultak. Vizsgálatink során a meghatározott ECOFF értékek töréspontként történő felhasználása esetén a vizsgált baktérium populáció jóval nagyobb érzékenységet mutatott az egyes hatóanyagokra nézve.</w:t>
      </w:r>
      <w:r>
        <w:rPr>
          <w:color w:val="000000"/>
          <w:sz w:val="24"/>
          <w:szCs w:val="24"/>
        </w:rPr>
        <w:br/>
        <w:t xml:space="preserve">Eredményeink alátámasztják az ECOFF vizsgálatok létjogosultságát, hiszen jelenleg házityúk esetén a Clinical and Laboratory Standards Institute (CLSI) által kizárólag enrofloxacinra van megállapított breakpoint érték Escherichia coli fajra nézve.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60700">
    <w:multiLevelType w:val="hybridMultilevel"/>
    <w:lvl w:ilvl="0" w:tplc="23721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60700">
    <w:abstractNumId w:val="18860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719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