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MISI</w:t>
            </w:r>
          </w:p>
          <w:p w:rsidR="00C275A3" w:rsidRDefault="00CA6B74" w:rsidP="00C275A3">
            <w:pPr>
              <w:pStyle w:val="Hallgatokepzes"/>
            </w:pPr>
            <w:r w:rsidRPr="001067CD">
              <w:rPr>
                <w:i/>
              </w:rPr>
              <w:t>misimate20@gmail.com</w:t>
            </w:r>
            <w:r w:rsidRPr="001067CD">
              <w:rPr>
                <w:i/>
              </w:rPr>
              <w:br/>
            </w:r>
            <w:r w:rsidR="00A96AEC">
              <w:t>BA in International Business</w:t>
            </w:r>
            <w:r w:rsidR="00A96AEC">
              <w:br/>
            </w:r>
            <w:r w:rsidR="00E77B23">
              <w:t>BA, 7.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Zsuzsanna Novák</w:t>
            </w:r>
          </w:p>
          <w:p w:rsidR="00DB4822" w:rsidRDefault="00DB4822" w:rsidP="00BA6BAF">
            <w:pPr>
              <w:pStyle w:val="Konzulensektitulus"/>
            </w:pPr>
            <w:r w:rsidRPr="00DB4822">
              <w:t>senior lecturer ,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QE During Credit Crunch - The Effects of the ECB’s Asset Purchase Program on Credit Volume Dynamics in the Eurozone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Monetary policy; European Central Bank; asset purchase program; credit cycle; vector error correction model (VECM)</w:t>
      </w:r>
      <w:r>
        <w:t xml:space="preserve"/>
      </w:r>
    </w:p>
    <w:p>
      <w:pPr>
        <w:widowControl w:val="on"/>
        <w:pBdr/>
        <w:spacing w:before="240" w:after="240" w:line="240" w:lineRule="auto"/>
        <w:ind w:left="0" w:right="0"/>
        <w:jc w:val="left"/>
      </w:pPr>
      <w:r>
        <w:rPr>
          <w:color w:val="000000"/>
          <w:sz w:val="24"/>
          <w:szCs w:val="24"/>
        </w:rPr>
        <w:t xml:space="preserve">Following the global financial crisis and the European sovereign debt crisis, central banks in advanced economies had to introduce new mechanisms (unconventional monetary policy tools) to effectively address the challenges posed by these crises and the subsequent economic conditions. In addition to these crises, the COVID-19 pandemic further encouraged central banks to utilize such policies, highlighting the relevance of the topic. The European Central Bank’s Asset Purchase Programme (APP) became a key instrument within the new monetary policy framework, drawing significant interest due to its potential impact on the eurozone’s financial environment. This research aims to examine how the program influenced credit volumes within the eurozone, shedding light on the relationship between central bank measures and the region’s credit markets, as well as potential heterogeneous outcomes. Understanding this relationship is critical, as it plays a vital role in the broader dynamics of business and credit cycles. The analysis employs Vector Error Correction Model (VECM) to investigate how the APP affected credit volumes in the eurozone. The focus is on Germany, France, Italy, and Portugal, representing core, moderately developed, and peripheral countries within the eurozone. The study analyzes quarterly data from 2007:Q2 to 2021:Q3, enabling a comprehensive examination of both long-term relationships and short-term dynamics between variables. The findings reveal that the APP indeed influenced credit volumes in the analyzed countries; however, the effects are heterogeneous due to differing economic parameters and characteristics of the banking sectors. This research extends previous studies on the topic by incorporating some new or differently applied variables, including an evaluation of how factors capturing financial market risk influence credit developments.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99133">
    <w:multiLevelType w:val="hybridMultilevel"/>
    <w:lvl w:ilvl="0" w:tplc="39596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99133">
    <w:abstractNumId w:val="72399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546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