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BERTOLD PÁL</w:t>
            </w:r>
          </w:p>
          <w:p w:rsidR="00C275A3" w:rsidRDefault="00CA6B74" w:rsidP="00C275A3">
            <w:pPr>
              <w:pStyle w:val="Hallgatokepzes"/>
            </w:pPr>
            <w:r w:rsidRPr="001067CD">
              <w:rPr>
                <w:i/>
              </w:rPr>
              <w:t>pbcs2000@gmail.com</w:t>
            </w:r>
            <w:r w:rsidRPr="001067CD">
              <w:rPr>
                <w:i/>
              </w:rPr>
              <w:br/>
            </w:r>
            <w:r w:rsidR="00A96AEC">
              <w:t>International Business</w:t>
            </w:r>
            <w:r w:rsidR="00A96AEC">
              <w:br/>
            </w:r>
            <w:r w:rsidR="00E77B23">
              <w:t>BA, 5.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Tamás Iványi</w:t>
            </w:r>
          </w:p>
          <w:p w:rsidR="00DB4822" w:rsidRDefault="00DB4822" w:rsidP="00BA6BAF">
            <w:pPr>
              <w:pStyle w:val="Konzulensektitulus"/>
            </w:pPr>
            <w:r w:rsidRPr="00DB4822">
              <w:t>university 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Exploring the potential of machine learning in relation to consumer preferences and decisions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data analysis; artificial intelligence</w:t>
      </w:r>
      <w:r>
        <w:t xml:space="preserve"/>
      </w:r>
    </w:p>
    <w:p>
      <w:pPr>
        <w:widowControl w:val="on"/>
        <w:pBdr/>
        <w:spacing w:before="240" w:after="240" w:line="240" w:lineRule="auto"/>
        <w:ind w:left="0" w:right="0"/>
        <w:jc w:val="left"/>
      </w:pPr>
      <w:r>
        <w:rPr>
          <w:color w:val="000000"/>
          <w:sz w:val="24"/>
          <w:szCs w:val="24"/>
        </w:rPr>
        <w:t xml:space="preserve">The aim of the study is to demonstrate how small and medium-sized enterprises (SMEs) can use artificial intelligence (AI) tools and machine learning algorithms to enhance their marketing activities without requiring programming knowledge, with a particular focus on segmentation and targeting. The first part of the paper provides a literature review offering a comprehensive overview of AI and machine learning applications in marketing. The second part presents a case study based on board game purchases and visits to board game cafés, which simulates a real-life segmentation and targeting scenario and is grounded in primary research.</w:t>
      </w:r>
    </w:p>
    <w:p>
      <w:pPr>
        <w:widowControl w:val="on"/>
        <w:pBdr/>
        <w:spacing w:before="240" w:after="240" w:line="240" w:lineRule="auto"/>
        <w:ind w:left="0" w:right="0"/>
        <w:jc w:val="left"/>
      </w:pPr>
      <w:r>
        <w:rPr>
          <w:color w:val="000000"/>
          <w:sz w:val="24"/>
          <w:szCs w:val="24"/>
        </w:rPr>
        <w:t xml:space="preserve">Data collection was conducted using traditional marketing research methods, specifically through surveys, targeting two samples: university students and members of online groups dedicated to board gaming. The data were analyzed using modern data processing software and machine learning algorithms, employing various models (e.g., logistic regression and random forest) to identify and optimize relevant variables. The results highlighted significant differences between the two samples, both in terms of prediction effectiveness and the composition of key variables. This underscores the importance of selecting an appropriate sampling framework for SMEs.</w:t>
      </w:r>
    </w:p>
    <w:p>
      <w:pPr>
        <w:widowControl w:val="on"/>
        <w:pBdr/>
        <w:spacing w:before="240" w:after="240" w:line="240" w:lineRule="auto"/>
        <w:ind w:left="0" w:right="0"/>
        <w:jc w:val="left"/>
      </w:pPr>
      <w:r>
        <w:rPr>
          <w:color w:val="000000"/>
          <w:sz w:val="24"/>
          <w:szCs w:val="24"/>
        </w:rPr>
        <w:t xml:space="preserve">The practical value of the case study lies in illustrating how AI algorithms can process data accessible to SMEs, thereby increasing marketing efficiency. The presented methods are highly adaptable to other industries and diverse samples.</w:t>
      </w:r>
    </w:p>
    <w:p>
      <w:pPr>
        <w:widowControl w:val="on"/>
        <w:pBdr/>
        <w:spacing w:before="240" w:after="240" w:line="240" w:lineRule="auto"/>
        <w:ind w:left="0" w:right="0"/>
        <w:jc w:val="left"/>
      </w:pPr>
      <w:r>
        <w:rPr>
          <w:color w:val="000000"/>
          <w:sz w:val="24"/>
          <w:szCs w:val="24"/>
        </w:rPr>
        <w:t xml:space="preserve">The limitations of the research include the constrained methodological framework of data collection, the focus on a single industry, and the size of the samples and variables, which restrict the generalizability of the findings. The principles of the methods described in the paper are widely applicable, especially for SMEs striving to adopt modern AI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27850">
    <w:multiLevelType w:val="hybridMultilevel"/>
    <w:lvl w:ilvl="0" w:tplc="97475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27850">
    <w:abstractNumId w:val="74627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7095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