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ANDRAS PINTER</w:t>
            </w:r>
          </w:p>
          <w:p w:rsidR="00C275A3" w:rsidRDefault="00CA6B74" w:rsidP="00C275A3">
            <w:pPr>
              <w:pStyle w:val="Hallgatokepzes"/>
            </w:pPr>
            <w:r w:rsidRPr="001067CD">
              <w:rPr>
                <w:i/>
              </w:rPr>
              <w:t>pntrndrs1994@gmail.com</w:t>
            </w:r>
            <w:r w:rsidRPr="001067CD">
              <w:rPr>
                <w:i/>
              </w:rPr>
              <w:br/>
            </w:r>
            <w:r w:rsidR="00A96AEC">
              <w:t>Regional and Environmental Economic Studies</w:t>
            </w:r>
            <w:r w:rsidR="00A96AEC">
              <w:br/>
            </w:r>
            <w:r w:rsidR="00E77B23">
              <w:t>MSc, 4.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Gabor Bartus </w:t>
            </w:r>
          </w:p>
          <w:p w:rsidR="00DB4822" w:rsidRDefault="00DB4822" w:rsidP="00BA6BAF">
            <w:pPr>
              <w:pStyle w:val="Konzulensektitulus"/>
            </w:pPr>
            <w:r w:rsidRPr="00DB4822">
              <w:t>senior lecturer,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EU Taxonomy's effects on capital markets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EU Taxonomy; capital market; risk; financing; yield</w:t>
      </w:r>
      <w:r>
        <w:t xml:space="preserve"/>
      </w:r>
    </w:p>
    <w:p>
      <w:pPr>
        <w:widowControl w:val="on"/>
        <w:pBdr/>
        <w:spacing w:before="240" w:after="240" w:line="240" w:lineRule="auto"/>
        <w:ind w:left="0" w:right="0"/>
        <w:jc w:val="left"/>
      </w:pPr>
      <w:r>
        <w:rPr>
          <w:color w:val="000000"/>
          <w:sz w:val="24"/>
          <w:szCs w:val="24"/>
        </w:rPr>
        <w:t xml:space="preserve">The aim of this paper is to present the EU Taxonomy’s - as one of the main capital market regulations for the promotion of sustainable investment - possible impacts and channels of its integration into the domestic regulatory and financial environment within the construction and commercial real estate sector. To underpin the research part of the thesis, the interconnection between sustainability and the built environment standards is examined through a holistic approach. The level of compliance and its sector specific criteria are also considered under the interpretation of the Taxonomy’s economic and capital market benefits. The impact of the Taxonomy will be illustrated by analyzing the financial and market value changes of the thesis’ case study (development of an office building) through two valuation models extended with relating methodologies. The relevance of the extended valuation model - as the center of this research - is demonstrated by a series of scientific reviews, which show that the value of buildings is increasingly determined by environmental and sustainability indicators as well. By translating the scientific background into practice, the research part of this thesis consists of two main steps: the first part is building up two valuation models extended with sustainability indicators related to two building lifecycle phases, where the research of the value determinants is assigned to qualitative and quantitative approaches. In the second part, the financial issues and results of the models will be evaluated in accordance with a scenario analysis depending on the risks related to the level of the Taxonomy alignment scenarios. This research puts a strong emphasis on the literature and empirical underpinning of sustainability value determinants and methodologies for risk identification and assessments, therefore the modelling is designed by incorporating methodological theories of the latest EU regulatory requirements and concepts (e.g., ESRS standards of the CSRD regulation; double materiality). The focus of the final conclusions is mainly on the current sector-specific "financial efficiency" of the Taxonomy and its actual or potential impacts on the commercial asset subject of this study. Considering the complex nature of the research problem, promoting the right solutions are not only justified, but also necessary.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844954">
    <w:multiLevelType w:val="hybridMultilevel"/>
    <w:lvl w:ilvl="0" w:tplc="938345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844954">
    <w:abstractNumId w:val="998449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39462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