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PAPP-RICHTER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richtermonii@gmail.com</w:t>
            </w:r>
            <w:r w:rsidRPr="001067CD">
              <w:rPr>
                <w:i/>
              </w:rPr>
              <w:br/>
            </w:r>
            <w:r w:rsidR="00A96AEC">
              <w:t>Regionális és környezeti gazdaságtan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Buzási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energetikai sérülékenységének felmérése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energia; sérülékenység; Magyarország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éghajlatváltozás hatásait az élet minden területén észlelhetjük, így az energiaszektorban is jelentős változások figyelhetők meg a változó időjárási körülmények hatására. Ezek a következmények egyre jobban érezhetőek az átlagemberek mindennapjaiban is, mivel a változó környezeti hatások a hagyományos energiarendszerek átértékelését és reformját teszik szükségessé. A magyar régiók és állampolgárok egyaránt sérülékenyek ezen változások tekintetében: a különböző országos, EU-szintű vagy globális intézkedések és kezdeményezések – közvetve vagy közvetlenül – mindannyiunkra hatással vannak.</w:t>
      </w:r>
      <w:r>
        <w:rPr>
          <w:color w:val="000000"/>
          <w:sz w:val="24"/>
          <w:szCs w:val="24"/>
        </w:rPr>
        <w:br/>
        <w:t xml:space="preserve">Jelen tanulmány célja Magyarország közigazgatási egységeinek kvantitatív sérülékenységi elemzése, kiemelt hangsúlyt helyezve az energiaszektor és -fogyasztás sérülékenységére. A kutatásban egy modell került megalkotásra, amely az IPCC által meghatározott sérülékenységi dimenziókat, az érzékenységet és az alkalmazkodóképességet mutatja be a magyar vármegyékben. Az elemzés indikátoralapú megközelítést alkalmaz, egyfelől társadalmi szemszögből, másfelől pedig kifejezetten az energiafogyasztás szempontjából. A kutatás során felhasznált adatbázisok és indikátorok sokszínűsége biztosítja a regionális mintázatok azonosíthatóságát, és megfelelő alapot biztosít azok elemzéséhez.</w:t>
      </w:r>
      <w:r>
        <w:rPr>
          <w:color w:val="000000"/>
          <w:sz w:val="24"/>
          <w:szCs w:val="24"/>
        </w:rPr>
        <w:br/>
        <w:t xml:space="preserve">Gyakori feltételezés, hogy a társadalmi-gazdasági jellemzők határozzák meg az egyének vagy egyes régiók energiafogyasztását és a hozzá kapcsolódó fogyasztói magatartást. Ezen sztereotípia ellenére azonban az értékelés jelentős eltéréseket mutat a társadalmi és az energiával kapcsolatos sérülékenység között. A számítások megerősítik azonban azt az előzetes várakozást, hogy Budapest és környéke mutatja a legalacsonyabb általános sérülékenységet, azonban a két kiemelt dimenzió között jelentős különbség van a fővárosi régió esetében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66761">
    <w:multiLevelType w:val="hybridMultilevel"/>
    <w:lvl w:ilvl="0" w:tplc="46305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66761">
    <w:abstractNumId w:val="80366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986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