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HORNYÁNSZKY ÁGNES</w:t>
            </w:r>
          </w:p>
          <w:p w:rsidR="00C275A3" w:rsidRDefault="00CA6B74" w:rsidP="00C275A3">
            <w:pPr>
              <w:pStyle w:val="Hallgatokepzes"/>
            </w:pPr>
            <w:r w:rsidRPr="001067CD">
              <w:rPr>
                <w:i/>
              </w:rPr>
              <w:t>agi.hornyanszky@gmail.com</w:t>
            </w:r>
            <w:r w:rsidRPr="001067CD">
              <w:rPr>
                <w:i/>
              </w:rPr>
              <w:br/>
            </w:r>
            <w:r w:rsidR="00A96AEC">
              <w:t>Gyógyszervegyész-mérnök MSc</w:t>
            </w:r>
            <w:r w:rsidR="00A96AEC">
              <w:br/>
            </w:r>
            <w:r w:rsidR="00E77B23">
              <w:t>MSc, 4. félév</w:t>
            </w:r>
          </w:p>
          <w:p w:rsidR="00C265CE" w:rsidRPr="009E5FF1" w:rsidRDefault="00E77B23" w:rsidP="00BA6BAF">
            <w:pPr>
              <w:pStyle w:val="Hallgatointezmeny-kar"/>
              <w:rPr>
                <w:b/>
                <w:caps/>
              </w:rPr>
            </w:pPr>
            <w:r>
              <w:t>Budapesti Műszaki és Gazdaságtudományi Egyetem</w:t>
            </w:r>
            <w:r w:rsidR="00C275A3">
              <w:br/>
            </w:r>
            <w:r w:rsidR="00DB4822">
              <w:t>Vegyészmérnöki és Biomérnöki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Kovács Péter</w:t>
            </w:r>
          </w:p>
          <w:p w:rsidR="00DB4822" w:rsidRDefault="00DB4822" w:rsidP="00BA6BAF">
            <w:pPr>
              <w:pStyle w:val="Konzulensektitulus"/>
            </w:pPr>
            <w:r w:rsidRPr="00DB4822">
              <w:t>tudományos főmunkatárs,  HUN-REN Természettudományi Kutatóközpont</w:t>
            </w:r>
          </w:p>
        </w:tc>
      </w:tr>
      <w:tr w:rsidR="00DB4822" w:rsidTr="00DB4822">
        <w:tc>
          <w:tcPr>
            <w:tcW w:w="9854" w:type="dxa"/>
          </w:tcPr>
          <w:p w:rsidR="00DB4822" w:rsidRPr="00DB4822" w:rsidRDefault="00DB4822" w:rsidP="00BA6BAF">
            <w:pPr>
              <w:pStyle w:val="Konzulenseknev"/>
            </w:pPr>
            <w:r w:rsidRPr="00DB4822">
              <w:t>Dr. Keserű György Miklós</w:t>
            </w:r>
          </w:p>
          <w:p w:rsidR="00DB4822" w:rsidRDefault="00DB4822" w:rsidP="00BA6BAF">
            <w:pPr>
              <w:pStyle w:val="Konzulensektitulus"/>
            </w:pPr>
            <w:r w:rsidRPr="00DB4822">
              <w:t>egyetemi tanár, BME VBK</w:t>
            </w:r>
          </w:p>
        </w:tc>
      </w:tr>
      <w:tr w:rsidR="00DB4822" w:rsidTr="00DB4822">
        <w:tc>
          <w:tcPr>
            <w:tcW w:w="9854" w:type="dxa"/>
          </w:tcPr>
          <w:p w:rsidR="00DB4822" w:rsidRPr="00DB4822" w:rsidRDefault="00DB4822" w:rsidP="00BA6BAF">
            <w:pPr>
              <w:pStyle w:val="Konzulenseknev"/>
            </w:pPr>
            <w:r w:rsidRPr="00DB4822">
              <w:t>Dr. Ábrányi-Balogh Péter</w:t>
            </w:r>
          </w:p>
          <w:p w:rsidR="00DB4822" w:rsidRDefault="00DB4822" w:rsidP="00BA6BAF">
            <w:pPr>
              <w:pStyle w:val="Konzulensektitulus"/>
            </w:pPr>
            <w:r w:rsidRPr="00DB4822">
              <w:t>tudományos főmunkatárs,  HUN-REN Természettudományi Kutatóközpont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Pirazolszármazékok szintézise dehidroecetsavból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heterociklusok; gyűrűzárás; szubsztituens függés; szelektivitás; hidrazin</w:t>
      </w:r>
      <w:r>
        <w:t xml:space="preserve"/>
      </w:r>
    </w:p>
    <w:p>
      <w:pPr>
        <w:widowControl w:val="on"/>
        <w:pBdr/>
        <w:spacing w:before="240" w:after="240" w:line="240" w:lineRule="auto"/>
        <w:ind w:left="0" w:right="0"/>
        <w:jc w:val="left"/>
      </w:pPr>
      <w:r>
        <w:rPr>
          <w:color w:val="000000"/>
          <w:sz w:val="24"/>
          <w:szCs w:val="24"/>
        </w:rPr>
        <w:t xml:space="preserve">A szakirodalomban fellelhető számos reakció dehidroecetsavval (1) és többféle hidrazinszármazékkal (33), amivel különböző pirazolszármazékokat állítottak elő. Az eredmények azonban nem minden esetben egyeztek, nagyon hasonló reakciókörülmények egészen más termékek leírásához vezettek, sok esetben a teljes analitikai vizsgálatok is hiányoznak. Munkánk során az volt a célunk, hogy megvizsgáljuk a különböző hidrazinok és a reakciókörülmények hatását a céltermékek arányára, illetve napjaink korszerű analitikai módszereivel a termékek valódi szerkezetének meghatározása. A reakciókban három különböző heterociklust (A-C) különböztettünk meg a kiindulási dehidroecetsavtól és egy diketon intermediertől. Emellett megfigyeltük a konverzió függését az alkalmazott oldószertől és segédanyagoktól.</w:t>
      </w:r>
    </w:p>
    <w:p>
      <w:pPr>
        <w:widowControl w:val="on"/>
        <w:pBdr/>
        <w:spacing w:before="240" w:after="240" w:line="240" w:lineRule="auto"/>
        <w:ind w:left="0" w:right="0"/>
        <w:jc w:val="left"/>
      </w:pPr>
      <w:r>
        <w:rPr>
          <w:color w:val="000000"/>
          <w:sz w:val="24"/>
          <w:szCs w:val="24"/>
        </w:rPr>
        <w:drawing>
          <wp:inline distT="0" distB="0" distL="0" distR="0">
            <wp:extent cx="2728800" cy="1936800"/>
            <wp:docPr id="52105306" name="name167a905722e60b" descr="imgtmp_94850_hu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94850_hu_1.png"/>
                    <pic:cNvPicPr/>
                  </pic:nvPicPr>
                  <pic:blipFill>
                    <a:blip r:embed="rId167a905722e5cc" cstate="print"/>
                    <a:stretch>
                      <a:fillRect/>
                    </a:stretch>
                  </pic:blipFill>
                  <pic:spPr>
                    <a:xfrm>
                      <a:off x="0" y="0"/>
                      <a:ext cx="2728800" cy="1936800"/>
                    </a:xfrm>
                    <a:prstGeom prst="rect">
                      <a:avLst/>
                    </a:prstGeom>
                    <a:ln w="0">
                      <a:noFill/>
                    </a:ln>
                  </pic:spPr>
                </pic:pic>
              </a:graphicData>
            </a:graphic>
          </wp:inline>
        </w:drawing>
      </w:r>
    </w:p>
    <w:p>
      <w:pPr>
        <w:widowControl w:val="on"/>
        <w:pBdr/>
        <w:spacing w:before="240" w:after="240" w:line="240" w:lineRule="auto"/>
        <w:ind w:left="0" w:right="0"/>
        <w:jc w:val="left"/>
      </w:pPr>
      <w:r>
        <w:rPr>
          <w:color w:val="000000"/>
          <w:sz w:val="24"/>
          <w:szCs w:val="24"/>
        </w:rPr>
        <w:t xml:space="preserve">1. ábra: A reakciók során azonosított szerkezetvariációk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112184">
    <w:multiLevelType w:val="hybridMultilevel"/>
    <w:lvl w:ilvl="0" w:tplc="679572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112184">
    <w:abstractNumId w:val="931121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0492008" Type="http://schemas.openxmlformats.org/officeDocument/2006/relationships/numbering" Target="numbering.xml"/><Relationship Id="rId167a905722e5cc" Type="http://schemas.openxmlformats.org/officeDocument/2006/relationships/image" Target="media/imgrId167a905722e5cc.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