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BODA</w:t>
            </w:r>
          </w:p>
          <w:p w:rsidR="00C275A3" w:rsidRDefault="00CA6B74" w:rsidP="00C275A3">
            <w:pPr>
              <w:pStyle w:val="Hallgatokepzes"/>
            </w:pPr>
            <w:r w:rsidRPr="001067CD">
              <w:rPr>
                <w:i/>
              </w:rPr>
              <w:t>bodaboglarka01@gmail.com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Veronika Fenyves</w:t>
            </w:r>
          </w:p>
          <w:p w:rsidR="00DB4822" w:rsidRDefault="00DB4822" w:rsidP="00BA6BAF">
            <w:pPr>
              <w:pStyle w:val="Konzulensektitulus"/>
            </w:pPr>
            <w:r w:rsidRPr="00DB4822">
              <w:t>professor, DE GTK</w:t>
            </w:r>
          </w:p>
        </w:tc>
      </w:tr>
      <w:tr w:rsidR="00DB4822" w:rsidTr="00DB4822">
        <w:tc>
          <w:tcPr>
            <w:tcW w:w="9854" w:type="dxa"/>
          </w:tcPr>
          <w:p w:rsidR="00DB4822" w:rsidRPr="00DB4822" w:rsidRDefault="00DB4822" w:rsidP="00BA6BAF">
            <w:pPr>
              <w:pStyle w:val="Konzulenseknev"/>
            </w:pPr>
            <w:r w:rsidRPr="00DB4822">
              <w:t>Dr. János Szenderák</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CSR controlling – A New Discipline at the Service of the Society and the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corporate social responsibility; controlling; sustainability; primary research</w:t>
      </w:r>
      <w:r>
        <w:t xml:space="preserve"/>
      </w:r>
    </w:p>
    <w:p>
      <w:pPr>
        <w:widowControl w:val="on"/>
        <w:pBdr/>
        <w:spacing w:before="240" w:after="240" w:line="240" w:lineRule="auto"/>
        <w:ind w:left="0" w:right="0"/>
        <w:jc w:val="left"/>
      </w:pPr>
      <w:r>
        <w:rPr>
          <w:color w:val="000000"/>
          <w:sz w:val="24"/>
          <w:szCs w:val="24"/>
        </w:rPr>
        <w:t xml:space="preserve">Corporate Social Responsibility (CSR) was initially adopted voluntarily by companies into their operation system, but in recent years, it has become increasingly important and is now an expectation. One reason behind these trends is that companies struggle to measure the specific impact and return on investment from their CSR activities; instead, they only observe the costs of these initiatives. A promising solution to this challenge is the implementation of CSR controlling.</w:t>
      </w:r>
    </w:p>
    <w:p>
      <w:pPr>
        <w:widowControl w:val="on"/>
        <w:pBdr/>
        <w:spacing w:before="240" w:after="240" w:line="240" w:lineRule="auto"/>
        <w:ind w:left="0" w:right="0"/>
        <w:jc w:val="left"/>
      </w:pPr>
      <w:r>
        <w:rPr>
          <w:color w:val="000000"/>
          <w:sz w:val="24"/>
          <w:szCs w:val="24"/>
        </w:rPr>
        <w:t xml:space="preserve">This research aims to review CSR controlling and provide justification for its importance. I conducted both primary and secondary research, examining scientific articles and books from both domestic and foreign sources. The primary research focused on investigating how widespread the concept of CSR controlling is among domestic companies, the conditions that support its development, and the potential obstacles it faces. I conducted a questionnaire survey among companies as part of my primary research. The survey results were discussed with business managers of large companies during professional interviews, which offered deeper insights into the perspectives of domestic companies on this issue. Both descriptive and advanced statistical methods were used to evaluate the responses from the questionnaire.</w:t>
      </w:r>
    </w:p>
    <w:p>
      <w:pPr>
        <w:widowControl w:val="on"/>
        <w:pBdr/>
        <w:spacing w:before="240" w:after="240" w:line="240" w:lineRule="auto"/>
        <w:ind w:left="0" w:right="0"/>
        <w:jc w:val="left"/>
      </w:pPr>
      <w:r>
        <w:rPr>
          <w:color w:val="000000"/>
          <w:sz w:val="24"/>
          <w:szCs w:val="24"/>
        </w:rPr>
        <w:t xml:space="preserve">The results show that environmental protection and community engagement receive the highest ratings for CSR activities in companies. However, CSR expenditure typically accounts for only a small fraction (0-1%) of overall turnover. Foreign-owned and large companies tend to prioritize CSR initiatives, and this focus varies significantly across different sectors. These trends are also evident in cost and revenue planning and CSR sustainability reporting practices. In domestic firms, CSR management is limited due to lacking resources and expertise. According to the professional interviews, the main obstacle to the introduction and diffusion of CSR controlling in Hungary is the lack of awareness regarding CSR activities. These activities are not very visible and remain a somewhat marginal topic within companies. Additionally, many organizations have not yet established functional controlling areas, which may further hinder the implementation of CSR controlling.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82118">
    <w:multiLevelType w:val="hybridMultilevel"/>
    <w:lvl w:ilvl="0" w:tplc="31551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82118">
    <w:abstractNumId w:val="44182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619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