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CSONTOS GYÖRGY</w:t>
            </w:r>
          </w:p>
          <w:p w:rsidR="00C275A3" w:rsidRDefault="00CA6B74" w:rsidP="00C275A3">
            <w:pPr>
              <w:pStyle w:val="Hallgatokepzes"/>
            </w:pPr>
            <w:r w:rsidRPr="001067CD">
              <w:rPr>
                <w:i/>
              </w:rPr>
              <w:t>csgyuri2001@gmail.com</w:t>
            </w:r>
            <w:r w:rsidRPr="001067CD">
              <w:rPr>
                <w:i/>
              </w:rPr>
              <w:br/>
            </w:r>
            <w:r w:rsidR="00A96AEC">
              <w:t>Pénzügy és számvitel</w:t>
            </w:r>
            <w:r w:rsidR="00A96AEC">
              <w:br/>
            </w:r>
            <w:r w:rsidR="00E77B23">
              <w:t>BA,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Tömöri Gergő</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energiakrízis hatása a variancia és Gini alapon optimalizált porfólióstruktúrákra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portfólió; optimalizáció; részvény; részvénypiac; energiaválság</w:t>
      </w:r>
      <w:r>
        <w:t xml:space="preserve"/>
      </w:r>
    </w:p>
    <w:p>
      <w:pPr>
        <w:widowControl w:val="on"/>
        <w:pBdr/>
        <w:spacing w:before="240" w:after="240" w:line="240" w:lineRule="auto"/>
        <w:ind w:left="0" w:right="0"/>
        <w:jc w:val="left"/>
      </w:pPr>
      <w:r>
        <w:rPr>
          <w:color w:val="000000"/>
          <w:sz w:val="24"/>
          <w:szCs w:val="24"/>
        </w:rPr>
        <w:t xml:space="preserve">A 2020-as években lezajló válsághelyzetek sosem látott hirtelenséggel rengették meg a részvénypiacot Magyarország és az egész világ tekintetében. A Covid-19 járványhelyzet és az orosz-ukrán háború kitörését követő árfolyamzuhanások jelentős nehézségeket okoztak mind a részvénytársaságok, mind a részvénytulajdonosok számára, visszavetve ezzel a Budapesti Értéktőzsde, illetve világ valamennyi tőzsdéjének forgalmát.</w:t>
      </w:r>
    </w:p>
    <w:p>
      <w:pPr>
        <w:widowControl w:val="on"/>
        <w:pBdr/>
        <w:spacing w:before="240" w:after="240" w:line="240" w:lineRule="auto"/>
        <w:ind w:left="0" w:right="0"/>
        <w:jc w:val="left"/>
      </w:pPr>
      <w:r>
        <w:rPr>
          <w:color w:val="000000"/>
          <w:sz w:val="24"/>
          <w:szCs w:val="24"/>
        </w:rPr>
        <w:t xml:space="preserve">Kutatási célom volt a zöldítési politika, a Covid utáni újranyitás és a kiéleződött geopolitikai konfliktusok együttes következményeképpen kialakuló energiakrízis hatásának vizsgálata a magyarországi részvénypiacra kiélezve, melyet a blue chipek, illetve az energetikai üzletágban érdekelt ALTEO Nyrt. részvényeinek elemzésén és az azokból kialakított portfóliók optimalizálásán keresztül végeztem el. Vizsgálatomat az előbbi öt részvényt is érintő világ- és nemzetgazdasági kihívások elemzésével kezdtem, majd az ezekből levont következtetéseket piaci értékmutatók és részvényértékelési modellek segítségével támasztottam alá.</w:t>
      </w:r>
    </w:p>
    <w:p>
      <w:pPr>
        <w:widowControl w:val="on"/>
        <w:pBdr/>
        <w:spacing w:before="240" w:after="240" w:line="240" w:lineRule="auto"/>
        <w:ind w:left="0" w:right="0"/>
        <w:jc w:val="left"/>
      </w:pPr>
      <w:r>
        <w:rPr>
          <w:color w:val="000000"/>
          <w:sz w:val="24"/>
          <w:szCs w:val="24"/>
        </w:rPr>
        <w:t xml:space="preserve">Az adatgyűjtést követően a HPR mutató és a havi záró árfolyamváltozások százalékos értékeinek meghatározására kerítettem sort a háborúval érintett és az azt megelőző időszakra is elkülönítetten, kiegészítve a hozamok eloszlásának leíró statisztikai elemzésével, valamint a vizsgálat tárgyát képező részvények értékelését leginkább jellemző indikátorok vizsgálatával. A vállalatok növekedési rátáinak, elvárt hozamainak és piaci kockázatainak segítségével határoztam meg, hogy az energiaválság időszakában a vizsgálat részét képező értékpapíroktól elvárt befektetői hozam mennyire tükrözte azok tényleges hozamát. A vizsgálat utolsó lépéseként kívántam meghatározni, hogy egy, az előbbi 5 részvényből összeállított portfólió variancia és Gini-index alapon optimalizált struktúrájára milyen hatást gyakoroltak a 2020-2023 közötti időszak turbulens válságjelenségei, kiemelten az energiaárak inflációjára. Mivel mindkét metódus bár eltérő mértékben, de az energiaválság hatására ugyanazon, energetikában érdekelt társaság részvényeinek portfólióban betöltött súlyát növelte meg szignifikánsan az egységnyi elvárt hozam elérése érdekében minimálisan vállalni szükséges kockázathoz, így kijelenthetem, hogy a diverzifikált portfólió összetételének változása visszatükrözte az általam is részletezett makrogazdasági körülmények részvénypiacra gyakorolt hatásait.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73555">
    <w:multiLevelType w:val="hybridMultilevel"/>
    <w:lvl w:ilvl="0" w:tplc="75294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73555">
    <w:abstractNumId w:val="11873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80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