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MOLNÁR ALBERT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treblaranlom@gmail.com</w:t>
            </w:r>
            <w:r w:rsidRPr="001067CD">
              <w:rPr>
                <w:i/>
              </w:rPr>
              <w:br/>
            </w:r>
            <w:r w:rsidR="00A96AEC">
              <w:t>Vállalkozásfejlesztés</w:t>
            </w:r>
            <w:r w:rsidR="00A96AEC">
              <w:br/>
            </w:r>
            <w:r w:rsidR="00E77B23">
              <w:t>MSc,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Keleti Károly Gazdasági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habil.  Csiszárik-Kocsir Ágnes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OE KGK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Európai Központi Bank kamatemelési ciklusának spillover hatásai az EUR/HUF árfolyamra és a 3 hónapos BUBOR-ra. Egy VAR megközelítés a Diebold-Yilmaz módszer segítségével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BUBOR, gazdasági válság, EURIBOR, általánosított előrejelzési hiba varianciadekompozíció, átszivárgás, recesszió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Célunk, hogy megvizsgáljuk okoznak e volatilitás megugrásokat a magyar pénzügyi piacokon az EKB váratlan kamatdöntései. Feltételezzük, hogy a volatilitás megugrása főleg átszivárgási (spillover) hatásoknak köszönhető. A hatást a Diebold -Yilmaz által kidolgozott kapcsolatrendszerek és sokkterjedési hatások elemzésére szolgáló keretrendszerén keresztül vizsgáljuk. Egy 5 változós VAR modellre építjük a rendszert, és az előrejelzési hibavariancia-dekompozíció segítségével számszerűsítjük az EUR-HUF, 3 hónapos BUBOR, MAX index, EURIBOR és ESTR idősorok közötti sokkok átszivárgását. Ez lehetővé teszi az idősorok közötti kölcsönhatások irányának és mértékének meghatározását, valamint a rendszer egészére kiterjedő, illetve páros kapcsolatok szintjén történő elemzést. Az általánosított előrejelzési hibavariancia-dekompozíciót alkalmazva a módszer sorrendfüggetlen eredményeket ad, így különösen hasznos az idősorok dinamikus hálózati struktúráinak vizsgálatában, mind statikus, mind gördülő ablakos megközelítésben.</w:t>
      </w:r>
      <w:r>
        <w:rPr>
          <w:color w:val="000000"/>
          <w:sz w:val="24"/>
          <w:szCs w:val="24"/>
        </w:rPr>
        <w:br/>
        <w:t xml:space="preserve">A 3 hónapos BUBOR-kamatláb, az euró/forint árfolyam és a MAX referencia hozam alapján három kiemelkedő volatilitási epizódot azonosítottunk a magyar pénzügyi piacokon: 2019 harmadik-negyedik negyedévét, a 2020-as COVID válság okozta recessziót, valamint az MNB 2022-es októberi kamatemelés döntését. Ezek a volatilitásnövekedések összefüggésbe hozhatók az EU piacain tapasztalható volatilitási csúcsokkal, amelyek bizonyos mértékben mérhető spillover hatást gyakoroltak a magyar bankközi kamatlábakra.</w:t>
      </w:r>
      <w:r>
        <w:rPr>
          <w:color w:val="000000"/>
          <w:sz w:val="24"/>
          <w:szCs w:val="24"/>
        </w:rPr>
        <w:br/>
        <w:t xml:space="preserve">Az 5 változóra vonatkozó, 957 megfigyelést tartalmazó teljes minta alapján azt találtuk, hogy a volatilitási előrejelzési hiba varianciájának mindössze átlagosan 6,3%-a származik spilloverből. A magyar pénzügyi piacokon létrejött volatilitásnak a spillover komponense az 5 változós VAR modellünkbe nem volt jelentős.</w:t>
      </w:r>
      <w:r>
        <w:rPr>
          <w:color w:val="000000"/>
          <w:sz w:val="24"/>
          <w:szCs w:val="24"/>
        </w:rPr>
        <w:br/>
        <w:t xml:space="preserve">Eredményeink alapján megállapítottuk, hogy az ECB váratlan kamatpolitikai döntéseinek csupán marginális hatása van a magyar pénzügyi mutatókra. A 300 napos gördülő minták ábráján megfigyeltük, hogy a BUBOR inkább nettó befogadója a spillovereknek, miközben a MAX valamint az EURIBOR nettó volatilitás kibocsátó.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960558">
    <w:multiLevelType w:val="hybridMultilevel"/>
    <w:lvl w:ilvl="0" w:tplc="460419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960558">
    <w:abstractNumId w:val="3896055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11130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