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ALBERT MOLNAR</w:t>
            </w:r>
          </w:p>
          <w:p w:rsidR="00C275A3" w:rsidRDefault="00CA6B74" w:rsidP="00C275A3">
            <w:pPr>
              <w:pStyle w:val="Hallgatokepzes"/>
            </w:pPr>
            <w:r w:rsidRPr="001067CD">
              <w:rPr>
                <w:i/>
              </w:rPr>
              <w:t>treblaranlom@gmail.com</w:t>
            </w:r>
            <w:r w:rsidRPr="001067CD">
              <w:rPr>
                <w:i/>
              </w:rPr>
              <w:br/>
            </w:r>
            <w:r w:rsidR="00A96AEC">
              <w:t>Business development</w:t>
            </w:r>
            <w:r w:rsidR="00A96AEC">
              <w:br/>
            </w:r>
            <w:r w:rsidR="00E77B23">
              <w:t>MSc, 10. semester</w:t>
            </w:r>
          </w:p>
          <w:p w:rsidR="00C265CE" w:rsidRPr="009E5FF1" w:rsidRDefault="00E77B23" w:rsidP="00BA6BAF">
            <w:pPr>
              <w:pStyle w:val="Hallgatointezmeny-kar"/>
              <w:rPr>
                <w:b/>
                <w:caps/>
              </w:rPr>
            </w:pPr>
            <w:r>
              <w:t>Obuda University</w:t>
            </w:r>
            <w:r w:rsidR="00C275A3">
              <w:br/>
            </w:r>
            <w:r w:rsidR="00DB4822">
              <w:t>Keleti Károly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Ágnes Csiszárik-Kocsir </w:t>
            </w:r>
          </w:p>
          <w:p w:rsidR="00DB4822" w:rsidRDefault="00DB4822" w:rsidP="00BA6BAF">
            <w:pPr>
              <w:pStyle w:val="Konzulensektitulus"/>
            </w:pPr>
            <w:r w:rsidRPr="00DB4822">
              <w:t>associate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ANALYZING SPILLOVER EFFECTS OF ECB RAKE HIKES ON THE EURO FORINT EXCHANGE RATE AND THE 3-MONTH BUBOR. A VAR APPROACH USING THE DIEBOLD-YILMAZ METHOD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Bubor, Economic crisis, Euribor, Generalized Forecast variance error decomposition, Spillover, Recession.</w:t>
      </w:r>
      <w:r>
        <w:t xml:space="preserve"/>
      </w:r>
    </w:p>
    <w:p>
      <w:pPr>
        <w:widowControl w:val="on"/>
        <w:pBdr/>
        <w:spacing w:before="240" w:after="240" w:line="240" w:lineRule="auto"/>
        <w:ind w:left="0" w:right="0"/>
        <w:jc w:val="left"/>
      </w:pPr>
      <w:r>
        <w:rPr>
          <w:color w:val="000000"/>
          <w:sz w:val="24"/>
          <w:szCs w:val="24"/>
        </w:rPr>
        <w:t xml:space="preserve">We intend to show the directional volatility spillovers between the short term interbank lending rates in EU and in Hungary. We employ the Diebold and Yilmaz methodology of dealing with non-orthogonal innovations through a Generalized forecast error variance decomposition framework and we also highlight the issues with the impulse response functions when it comes to ordering the variables that arise from the Cholesky decomposition, which solves the contemporaneous correlation problem of residuals. In case of the 3-month BUBOR rate, the Euro/Hungarian Forint exchange rate and for the MAX government benchmark variable we are able to identify three episodes of increased volatility: Q3-Q4 of 2019, the 2020 lockdown recession and the October 2022 rate hikes of the MNB. These volatility increases correspond with volatility spikes in EU markets that had to some extent a measurable spillover effect on Hungarian interbank rates.</w:t>
      </w:r>
      <w:r>
        <w:rPr>
          <w:color w:val="000000"/>
          <w:sz w:val="24"/>
          <w:szCs w:val="24"/>
        </w:rPr>
        <w:br/>
        <w:t xml:space="preserve">We find that on average, across the entire sample of over 957 observations of 5 variables, about 6.3% of the volatility forecast error variance in all 5 variables comes from spillovers. The total and directional spillovers over the sample are extremely low.</w:t>
      </w:r>
      <w:r>
        <w:rPr>
          <w:color w:val="000000"/>
          <w:sz w:val="24"/>
          <w:szCs w:val="24"/>
        </w:rPr>
        <w:br/>
        <w:t xml:space="preserve">In light of these findings, we conclude that the ECB’s surprise policy decisions have a marginal impact on Hungarian financial time series.</w:t>
      </w:r>
      <w:r>
        <w:rPr>
          <w:color w:val="000000"/>
          <w:sz w:val="24"/>
          <w:szCs w:val="24"/>
        </w:rPr>
        <w:br/>
        <w:t xml:space="preserve">From the 300-day rolling sample plot we observed that the BUBOR is a net receiver of spillovers from the MAX short term government bond benchmark rather than the EURIBOR – this disproved our initial considerations.</w:t>
      </w:r>
    </w:p>
    <w:p>
      <w:pPr>
        <w:widowControl w:val="on"/>
        <w:pBdr/>
        <w:spacing w:before="0" w:after="0" w:line="240" w:lineRule="auto"/>
        <w:ind w:left="0" w:right="0"/>
        <w:jc w:val="left"/>
      </w:pPr>
    </w:p>
    <w:p>
      <w:pPr>
        <w:widowControl w:val="on"/>
        <w:pBdr/>
        <w:spacing w:before="0" w:after="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35765">
    <w:multiLevelType w:val="hybridMultilevel"/>
    <w:lvl w:ilvl="0" w:tplc="189910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35765">
    <w:abstractNumId w:val="532357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27762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