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KORNÉLIA SÁRA SZATMÁRY</w:t>
            </w:r>
          </w:p>
          <w:p w:rsidR="00C275A3" w:rsidRDefault="00CA6B74" w:rsidP="00C275A3">
            <w:pPr>
              <w:pStyle w:val="Hallgatokepzes"/>
            </w:pPr>
            <w:r w:rsidRPr="001067CD">
              <w:rPr>
                <w:i/>
              </w:rPr>
              <w:t>szatmary.sara@gmail.com</w:t>
            </w:r>
            <w:r w:rsidRPr="001067CD">
              <w:rPr>
                <w:i/>
              </w:rPr>
              <w:br/>
            </w:r>
            <w:r w:rsidR="00A96AEC">
              <w:t>computer science engineering</w:t>
            </w:r>
            <w:r w:rsidR="00A96AEC">
              <w:br/>
            </w:r>
            <w:r w:rsidR="00E77B23">
              <w:t>BSc, 3.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Péter Szikora </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 behavior and business strategy in the light of changes in the EU regulation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behavior; business strategy; sustainability</w:t>
      </w:r>
      <w:r>
        <w:t xml:space="preserve"/>
      </w:r>
    </w:p>
    <w:p>
      <w:pPr>
        <w:widowControl w:val="on"/>
        <w:pBdr/>
        <w:spacing w:before="240" w:after="240" w:line="240" w:lineRule="auto"/>
        <w:ind w:left="0" w:right="0"/>
        <w:jc w:val="left"/>
      </w:pPr>
      <w:r>
        <w:rPr>
          <w:color w:val="000000"/>
          <w:sz w:val="24"/>
          <w:szCs w:val="24"/>
        </w:rPr>
        <w:t xml:space="preserve">The study explores the impact of changes in European Union (EU) regulations on consumer behavior and business strategies, with a focus on sustainable packaging in Hungary. It delves into the implications of EU policies such as the Circular Economy Action Plan and the Single-Use Plastics Directive, aiming to reduce waste and promote environmentally friendly practices.</w:t>
      </w:r>
      <w:r>
        <w:rPr>
          <w:color w:val="000000"/>
          <w:sz w:val="24"/>
          <w:szCs w:val="24"/>
        </w:rPr>
        <w:br/>
        <w:t xml:space="preserve">Hungarian regulations, aligned with EU directives, push businesses, especially small and medium-sized enterprises (SMEs), to adopt more sustainable packaging methods. These changes, while beneficial for the environment, impose challenges, including increased costs, administrative burdens, and adjustments in operations. However, they also offer opportunities for businesses to enhance their brand image and appeal to eco-conscious consumers.</w:t>
      </w:r>
      <w:r>
        <w:rPr>
          <w:color w:val="000000"/>
          <w:sz w:val="24"/>
          <w:szCs w:val="24"/>
        </w:rPr>
        <w:br/>
        <w:t xml:space="preserve">The research employs tools like PESTEL and SWOT analyses to examine the macro-environmental and industry-specific impacts on the packaging sector. Key findings highlight the growing consumer preference for sustainable packaging and the need for businesses to innovate in this area. A significant portion of the study focuses on consumer behavior, analyzing how environmental awareness influences purchasing decisions.</w:t>
      </w:r>
      <w:r>
        <w:rPr>
          <w:color w:val="000000"/>
          <w:sz w:val="24"/>
          <w:szCs w:val="24"/>
        </w:rPr>
        <w:br/>
        <w:t xml:space="preserve">Through surveys, the study identifies a distinct group of environmentally conscious consumers who prioritize sustainability in their choices. It concludes that companies can gain a competitive edge by aligning their strategies with these preferences. Recommendations include investing in eco-friendly technologies, improving communication about sustainability efforts, and leveraging partnerships to meet regulatory demands effectively.</w:t>
      </w:r>
      <w:r>
        <w:rPr>
          <w:color w:val="000000"/>
          <w:sz w:val="24"/>
          <w:szCs w:val="24"/>
        </w:rPr>
        <w:br/>
        <w:t xml:space="preserve">Overall, the research underscores the importance of adapting to regulatory changes and consumer expectations, highlighting the interplay between environmental goals and business strategies in achieving long-term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97027">
    <w:multiLevelType w:val="hybridMultilevel"/>
    <w:lvl w:ilvl="0" w:tplc="8407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97027">
    <w:abstractNumId w:val="937970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440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