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FERA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feragabor@gmail.com</w:t>
            </w:r>
            <w:r w:rsidRPr="001067CD">
              <w:rPr>
                <w:i/>
              </w:rPr>
              <w:br/>
            </w:r>
            <w:r w:rsidR="00A96AEC">
              <w:t>Mezőgazdasági vízgazdálkodási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SZE AKMK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Weiperth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Inváziós tízlábú rákok ( Crustaceae, Decapoda) predációs hatásának vizsgálata tüskés pikó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idegenhonos inváziós fajok; tízlábú rákok; tüskés pikó; predáció; vízi ökoszisztémák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Unióban különösen veszélyes idegenhonos inváziós állatfajként nyilvántartott cifrarák (Faxonius (Orconectes) limosus), vörös mocsárrák (Procambarus clarkii) és márványrák (Procambarus virginalis) napjainkban sajnos hazánk természetes vizeiben is tömegesen előfordul. A tüskés pikó (Gasterosteus aculeatus) sem őshonos halfajunk, első példánya Budapestnél került elő 1956‐ban. Tudományos kutatásokban különleges viselkedésökológiája és nagy alaktani változatossága miatt modellállatként való használata igen széleskörű.</w:t>
      </w:r>
      <w:r>
        <w:rPr>
          <w:color w:val="000000"/>
          <w:sz w:val="24"/>
          <w:szCs w:val="24"/>
        </w:rPr>
        <w:br/>
        <w:t xml:space="preserve">Vizsgálataink során arra kerestük a választ, hogy az 1994-ben, az inváziós rákfajok ottani megjelenése előtt a Szigetközből, illetve 2018-ban Budapest környékéről gyűjtött tüskés pikók alaktana között van-e olyan mértékű eltérés, mely választ adhat arra, hogy milyen formában járult hozzá ez az alaktani diverzitás ahhoz, hogy hazánkban két külön halfajt, a 2021-ig használt nomenklatúra alapján „keleti pikó” és „nyugati pikó”, illetve ezek hibridjeit írták le. A morfológiában bekövetkező hatások számszerűsítésére összesen 195 tüskés pikó 24 testparaméterét mértünk le és vetettük össze, pl. az oldalvértek száma, ami korábban a nyugati, valamint keleti pikók határozásának alapja volt és a tüskék mellett a halak ragadozók elleni védelmét szolgálja.</w:t>
      </w:r>
      <w:r>
        <w:rPr>
          <w:color w:val="000000"/>
          <w:sz w:val="24"/>
          <w:szCs w:val="24"/>
        </w:rPr>
        <w:br/>
        <w:t xml:space="preserve">A vizsgálat során kapott eredményeink rámutatnak arra, hogy a magyarországi vizekben előforduló pikó állományok a jelenleg használt morfometriai jegyek segítségével csak részben különíthetőek el. Az oldalvértek száma alapján a Szigetközben már a 90-es években is a kevéssé vértezett korábban nyugati pikóként leírt egyedek, míg a 2018-ban felmért élőhelyeken az ettől eltérő (korábban hibrid) állományok találhatóak. Az oldalvértszám alapján sem találtunk eltérést a 2018-ban vizsgált állományok között, amit részben a vízfolyásokra jellemző, közel azonos ragadozó fajkészletből származó predációs nyomás is magyarázhat. Véleményünk szerint a kárpát-medencei pikó állományok izolációja viszonylag alacsony, mert a Duna és ennek mellékfolyói, befolyói az állományok közötti összeköttetést biztosítja. Az elvégzett morfometriai vizsgálatok eredményeivel tehát megerősítjük az újabb határozókban és tudományos közleményekben megjelenteket, miszerint a környezetre adott morfológiai változásról van szó a különböző példányok esetében, vagyis a hazai tüskés pikó állományok fenotípusos plaszticitását sikerült igazolnunk.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77195">
    <w:multiLevelType w:val="hybridMultilevel"/>
    <w:lvl w:ilvl="0" w:tplc="75547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77195">
    <w:abstractNumId w:val="42277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058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