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HORVÁTH</w:t>
            </w:r>
          </w:p>
          <w:p w:rsidR="00C275A3" w:rsidRDefault="00CA6B74" w:rsidP="00C275A3">
            <w:pPr>
              <w:pStyle w:val="Hallgatokepzes"/>
            </w:pPr>
            <w:r w:rsidRPr="001067CD">
              <w:rPr>
                <w:i/>
              </w:rPr>
              <w:t>favago.zsolt@gmail.com</w:t>
            </w:r>
            <w:r w:rsidRPr="001067CD">
              <w:rPr>
                <w:i/>
              </w:rPr>
              <w:br/>
            </w:r>
            <w:r w:rsidR="00A96AEC">
              <w:t>law</w:t>
            </w:r>
            <w:r w:rsidR="00A96AEC">
              <w:br/>
            </w:r>
            <w:r w:rsidR="00E77B23">
              <w:t>Unified, 5.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Krisztina Bencze</w:t>
            </w:r>
          </w:p>
          <w:p w:rsidR="00DB4822" w:rsidRDefault="00DB4822" w:rsidP="00BA6BAF">
            <w:pPr>
              <w:pStyle w:val="Konzulensektitulus"/>
            </w:pPr>
            <w:r w:rsidRPr="00DB4822">
              <w:t>assistant lecturer,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Golden Mean: The existence of the mean in the penalty assessment terrain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median; legal precision; duty to state reasons</w:t>
      </w:r>
      <w:r>
        <w:t xml:space="preserve"/>
      </w:r>
    </w:p>
    <w:p>
      <w:pPr>
        <w:widowControl w:val="on"/>
        <w:pBdr/>
        <w:spacing w:before="240" w:after="240" w:line="240" w:lineRule="auto"/>
        <w:ind w:left="0" w:right="0"/>
        <w:jc w:val="left"/>
      </w:pPr>
      <w:r>
        <w:rPr>
          <w:color w:val="000000"/>
          <w:sz w:val="24"/>
          <w:szCs w:val="24"/>
        </w:rPr>
        <w:t xml:space="preserve">The median and its regulation raise a number of questions, the answers to which are a matter of both the practical implementation of judicial independence and the improvement of the application of the law. I believe that finding answers to these questions has lit up new sources of light at the end of the tunnel, and that greater attention to and adherence to these sources of light will encourage legal practitioners to adopt a more rigorous approach to the application of the law. It is also worth highlighting the role of the mean in the field of sentencing today and in previous eras. My research unpacks these issues and points to the cornerstone of judicial lawmaking in the discipline of criminal law: which way should the scales tip? For in the tangled cavalcade of relevant circumstances, judges need to exercise great care, deliberation and discretion in order to make the right decision. In order to facilitate the work of the judiciary and to promote the unification of the law, the legislator has introduced legislation, namely the median value, which can serve as a crutch for the delivery of just judgments. The needs of the State in terms of criminal policy and the examination of individual circumstances can be set against each other when considering the existence, absence and regulation of the minimum threshold. The question then arises once again: is it a matter of criminal policy or of pure justice, where do we draw the line, i.e. which way should the scales tip? I also draw attention in my thesis to the importance of respecting the duty to state reasons. In my research, I have examined a large number of judicial decisions in order to answer the question of the direction and extent to which legal practitioners in general deviate from the mean. So which direction is the trend in terms of judicial decision-making?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88643">
    <w:multiLevelType w:val="hybridMultilevel"/>
    <w:lvl w:ilvl="0" w:tplc="5525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88643">
    <w:abstractNumId w:val="44288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792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