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ERŐS ORSOLYA JÚLIA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erosorsi96@hotmail.com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Reiderné Dr. Bánki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jogellenes gyermekelviteli ügyek hazai és nemzetközi gyakorlata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gyermekelvitel; nemperes eljárás; Hágai Gyermekelviteli Egyezmény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közelmúlt évtizedek világot átformáló jelenségei és eseményei (globalizáció, klímaválság, világjárvány, háborúk…) a növekvő számú nemzetközi családokat közvetlenül érintik. A kutatás középpontjában a jogellenesen külföldre vitt gyermekek állnak, akik csoportját a nemzetközi, uniós és nemzeti jog is kiemelt védelemben részesít. A kortárs szakirodalom is előrevetíti a jogellenes gyermekelviteli jogesetek számának növekedését, az ügyek természete azonban egyáltalán nem újszerű. A XX. század végén olyan égető problémát jelentett világszerte, hogy még az 1989-es New York-i Gyermekjogi Egyezmény megalkotását is majdnem egy évtizeddel megelőzte, a kifejezetten gyermekelviteli ügyeket rendezni kívánó 1980-as Hágai Gyermekelviteli Egyezmény.</w:t>
      </w:r>
      <w:r>
        <w:rPr>
          <w:color w:val="000000"/>
          <w:sz w:val="24"/>
          <w:szCs w:val="24"/>
        </w:rPr>
        <w:br/>
        <w:t xml:space="preserve">A dolgozat a - nemzetközi szerződések között az egyik legszélesebb körben elfogottként is számontartott egyezmény alapján indítható, - gyermek visszavitele iránti eljárást vizsgálja. A kutatási területet szűkíti - a magyar családjog szemszögéből nézve relevánsnak ítélt, - Magyarországra jogellenesen hozott gyermekek ügyei. A nemzetközi, Európai Uniós és hazai jogszabályi környezet bemutatását követően a jogellenesen külföldre vitt gyermek visszavitele iránti eljárás részletszabályaira fókuszál, kiemelve a magyar jogalkalmazásban, a soron kívüli, nemperes eljárásokban tapasztalható két nehézséget okozó kérdéskört. Először a gyermek szokásos tartózkodási helyének megállapíthatóságának és értelmezésének problémáit vizsgálja. Másodszor pedig azokat a kivételes eseteket veszi sorra, amikor az eljáró hatóság - a jogellenesség megállapításának ellenére is - mellőzi az elvitt gyermek szokásos tartózkodási helyére történő visszavitelének elrendelését. A nemzetközi szinten eltérő értelmezésekből adódó jogbiztonsági problémákra kíván rámutatni, és konkrét javaslatai (pl. kötelező jogi képviselet bevezetése, eljárásban alkalmazott bizonyítás módosítása) által kíván becsatlakozni a témát övező tudományos gondolkodásba.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458006">
    <w:multiLevelType w:val="hybridMultilevel"/>
    <w:lvl w:ilvl="0" w:tplc="10918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458006">
    <w:abstractNumId w:val="504580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0690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