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BOSITS DORINA</w:t>
            </w:r>
          </w:p>
          <w:p w:rsidR="00C275A3" w:rsidRDefault="00CA6B74" w:rsidP="00C275A3">
            <w:pPr>
              <w:pStyle w:val="Hallgatokepzes"/>
            </w:pPr>
            <w:r w:rsidRPr="001067CD">
              <w:rPr>
                <w:i/>
              </w:rPr>
              <w:t>bositsdorka@gmail.com</w:t>
            </w:r>
            <w:r w:rsidRPr="001067CD">
              <w:rPr>
                <w:i/>
              </w:rPr>
              <w:br/>
            </w:r>
            <w:r w:rsidR="00A96AEC">
              <w:t>Jogász</w:t>
            </w:r>
            <w:r w:rsidR="00A96AEC">
              <w:br/>
            </w:r>
            <w:r w:rsidR="00E77B23">
              <w:t>Osztatlan, 3. félév</w:t>
            </w:r>
          </w:p>
          <w:p w:rsidR="00C265CE" w:rsidRPr="009E5FF1" w:rsidRDefault="00E77B23" w:rsidP="00BA6BAF">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Barna Attila</w:t>
            </w:r>
          </w:p>
          <w:p w:rsidR="00DB4822" w:rsidRDefault="00DB4822" w:rsidP="00BA6BAF">
            <w:pPr>
              <w:pStyle w:val="Konzulensektitulus"/>
            </w:pPr>
            <w:r w:rsidRPr="00DB4822">
              <w:t>egyetemi docens,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Aranybulla megjelenése a történeti alkotmányosságban és az ellenállási jog továbbélése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történetiség; alkotmányosság, ellenállás, Aranybulla, identitás</w:t>
      </w:r>
      <w:r>
        <w:t xml:space="preserve"/>
      </w:r>
    </w:p>
    <w:p>
      <w:pPr>
        <w:widowControl w:val="on"/>
        <w:pBdr/>
        <w:spacing w:before="240" w:after="240" w:line="240" w:lineRule="auto"/>
        <w:ind w:left="0" w:right="0"/>
        <w:jc w:val="left"/>
      </w:pPr>
      <w:r>
        <w:rPr>
          <w:color w:val="000000"/>
          <w:sz w:val="24"/>
          <w:szCs w:val="24"/>
        </w:rPr>
        <w:t xml:space="preserve">A rendszerváltást követő történeti jogfolytonosság jegyében kutatás középpontjában az Aranybulla és öröksége áll. Az Aranybulla-napról szóló törvény megjelenése és a téma körüli hatványozott figyelem motivált a téma kutatásának elkezdésére több mint két éve. A téma relevanciája azóta csak erősödött. Kartális alkotmányunk sajátosan, a történeti alkotmányt is felemlegeti. A dolgozat célja ennek az alkotmányosságnak mibenléte, abban az Aranybulla, különösen az ellenállási záradék jelentőségének vizsgálata.</w:t>
      </w:r>
    </w:p>
    <w:p>
      <w:pPr>
        <w:widowControl w:val="on"/>
        <w:pBdr/>
        <w:spacing w:before="240" w:after="240" w:line="240" w:lineRule="auto"/>
        <w:ind w:left="0" w:right="0"/>
        <w:jc w:val="left"/>
      </w:pPr>
      <w:r>
        <w:rPr>
          <w:color w:val="000000"/>
          <w:sz w:val="24"/>
          <w:szCs w:val="24"/>
        </w:rPr>
        <w:t xml:space="preserve">Fő kérdéseim közé tartozik, hogy hogyan vált az Aranybulla a történeti alkotmány részelemévé; valamint, hogy a történeti alkotmány hogyan kapcsolódik a mai Alaptörvényünkhöz és hogyan jelenik meg az Alkotmánybíróság gyakorlatában az Aranybulla és más részelemek vonatkozásában. Célom továbbá az volt, hogy megvizsgáljam az Ellenállási záradék, ezen belül az ellenállási jog hatását és továbbélését a mai alkotmányos identitásunkban mind jogi, politikai és szimbolikus értelemben. A válaszkereséssel szerettem volna felvázolni, hogy hogyan jelenik meg a gyakorlatban a történeti alkotmány intézménye. Továbbá, hogy vajon kimutatható-e valamilyen kapcsolat egy több mint 800 éves dokumentum, nevezetesen az Aranybulla és jelen korunk alkotmányossága között, különös tekintettel az ellenállási jog fejlődésének és szokásjogiasságának tekintetében, akár exressis verbis formában, átalakulva, beleolvadva más jogba, vagy akár pedig szellemiségét tekintve.</w:t>
      </w:r>
    </w:p>
    <w:p>
      <w:pPr>
        <w:widowControl w:val="on"/>
        <w:pBdr/>
        <w:spacing w:before="240" w:after="240" w:line="240" w:lineRule="auto"/>
        <w:ind w:left="0" w:right="0"/>
        <w:jc w:val="left"/>
      </w:pPr>
      <w:r>
        <w:rPr>
          <w:color w:val="000000"/>
          <w:sz w:val="24"/>
          <w:szCs w:val="24"/>
        </w:rPr>
        <w:t xml:space="preserve">Összefoglalóan, kutatásom a történeti alkotmányosság, benne az Aranybulla mai relevanciájának valódiságát hivatott megvizsgálni és ezt a jogalkotói, jogalkalmazói, alkotmánybírósági és köznapi gyakorlat tekintetében megvilágítani, amellyel a múlt jogának jelentőségét a jelen alkotmányosságában került a középpontba.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39794">
    <w:multiLevelType w:val="hybridMultilevel"/>
    <w:lvl w:ilvl="0" w:tplc="50370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39794">
    <w:abstractNumId w:val="251397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60168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