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HEROLD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viragherold@gmail.com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Konfliktus és kompromisszum: Deák Ferenc és Lustkandl vitájának politikai és jogi dimenziói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Deák–Lustkandl vita; Pragmatica Sanctio; szabad királyválasztás; közjog; perszonálunió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Deák–Lustkandl vita az 1860-as évek egyik legfontosabb közjogi vitája volt, amely máig releváns témákról szólt, így további viták katalizátoraként szolgált és hatalmas lépést jelentett a húsvéti cikkhez, valamint a kiegyezéshez vezető úton. Wenzel Lustkandl osztrák jogtudós 1863-ban jelentette meg művét a „Das ungarisch-österreichische Staatsrecht: zur Lösung der Verfassungsfrage”-t, amelyre Deák Ferenc 1865-ben reagált „Adalékok a magyar közjoghoz. Észrevételek Lustkandl Vencel munkájára” címmel.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vita jelentős hatást gyakorolt a korabeli közéletre és hosszú ideig a jogtörténeti szakirodalom középpontjában állt, azonban a téma az utóbbi időben háttérbe szorult. Kutatásom célja Lustkandl Pragmatica Sanctioról és a szabad királyválasztásról alkotott gondolatainak újdonsága, hiszen ilyen markáns és egyben nóvumnak számító véleményre ezen témakörökben a magyar jogtörténetben még sohasem volt példa. A témával való foglalatosságom során több kérdés is megfogalmazódott bennem. Helytállóak-e a két oldal által felsorakoztatott érvek? Hogyan formálta az 1860-as évek politikai helyzetét a kialakult diskurzus? Azonban a legnagyobb dilemma számomra az volt, hogy milyen relevanciával bír a vita a XXI. század jogi gondolkodói számára?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Kiemelt jelentőségű Lustkandl azon állítása, hogy Magyarország elvesztette szuverenitását, amelyet Deák cáfolt azáltal, hogy bizonyította az osztrák és a magyar Pragmatica Sanctio közötti eltéréseket mind tartalmukban, mind hatásukban. Emellett Deák rámutatott arra is, hogy a magyar rendek önként mondtak le bizonyos jogaikról – például a szabad királyválasztás jogáról – az ország megmaradásának biztosítása érdekében egy esetleges török fenyegetéssel szemben.</w:t>
      </w:r>
      <w:r>
        <w:rPr>
          <w:color w:val="000000"/>
          <w:sz w:val="24"/>
          <w:szCs w:val="24"/>
        </w:rPr>
        <w:br/>
        <w:t xml:space="preserve">Deák Ferenc érvelésének logikája és gondolati rendszere jelentős mértékben hozzájárult a modern magyar államjogi gondolkodás alapjainak lefektetéséhez, ezzel elősegítve a jogbiztonság és a polgári szabadságjogok megerősödését, valamint a jogállamiság eszméjének megszilárdulását.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86952">
    <w:multiLevelType w:val="hybridMultilevel"/>
    <w:lvl w:ilvl="0" w:tplc="53213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86952">
    <w:abstractNumId w:val="86586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023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