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SADIA KABIR DINA</w:t>
            </w:r>
          </w:p>
          <w:p w:rsidR="00C275A3" w:rsidRDefault="00CA6B74" w:rsidP="00C275A3">
            <w:pPr>
              <w:pStyle w:val="Hallgatokepzes"/>
            </w:pPr>
            <w:r w:rsidRPr="001067CD">
              <w:rPr>
                <w:i/>
              </w:rPr>
              <w:t>sadiadina13@gmail.com</w:t>
            </w:r>
            <w:r w:rsidRPr="001067CD">
              <w:rPr>
                <w:i/>
              </w:rPr>
              <w:br/>
            </w:r>
            <w:r w:rsidR="00A96AEC">
              <w:t>mechatronikai mérnöki tudomány</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Balajti István</w:t>
            </w:r>
          </w:p>
          <w:p w:rsidR="00DB4822" w:rsidRDefault="00DB4822" w:rsidP="00BA6BAF">
            <w:pPr>
              <w:pStyle w:val="Konzulensektitulus"/>
            </w:pPr>
            <w:r w:rsidRPr="00DB4822">
              <w:t>egyetemi docens,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Érzékelők elemzése autonóm járművek fejlesztéséhez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Autonomous vehicles; Sensors; LiDAR; Risk assessment; Sensor fusion</w:t>
      </w:r>
      <w:r>
        <w:t xml:space="preserve"/>
      </w:r>
    </w:p>
    <w:p>
      <w:pPr>
        <w:widowControl w:val="on"/>
        <w:pBdr/>
        <w:spacing w:before="240" w:after="240" w:line="240" w:lineRule="auto"/>
        <w:ind w:left="0" w:right="0"/>
        <w:jc w:val="left"/>
      </w:pPr>
      <w:r>
        <w:rPr>
          <w:color w:val="000000"/>
          <w:sz w:val="24"/>
          <w:szCs w:val="24"/>
        </w:rPr>
        <w:t xml:space="preserve">Autonomous vehicles (AVs) rely on advanced sensors to perceive and navigate their environments, promising safer, more efficient transportation. This study provides a comprehensive analysis of the key sensors used in AVs—cameras, LiDAR, and radar—highlighting their technological complexities, strengths, limitations, and integration challenges. Cameras excel in high-resolution imaging but are weather-sensitive. LiDAR provides accurate 3D mapping but faces cost and environmental noise issues, while radar is resilient in adverse conditions but has lower resolution.</w:t>
      </w:r>
    </w:p>
    <w:p>
      <w:pPr>
        <w:widowControl w:val="on"/>
        <w:pBdr/>
        <w:spacing w:before="240" w:after="240" w:line="240" w:lineRule="auto"/>
        <w:ind w:left="0" w:right="0"/>
        <w:jc w:val="left"/>
      </w:pPr>
      <w:r>
        <w:rPr>
          <w:color w:val="000000"/>
          <w:sz w:val="24"/>
          <w:szCs w:val="24"/>
        </w:rPr>
        <w:t xml:space="preserve">The research explores generic and dynamic risks affecting sensor reliability, such as environmental factors, sensor fusion challenges, cybersecurity vulnerabilities, and regulatory uncertainties. A detailed risk assessment framework is proposed, incorporating static and evolving risks like road infrastructure changes and sensor wear over time.</w:t>
      </w:r>
    </w:p>
    <w:p>
      <w:pPr>
        <w:widowControl w:val="on"/>
        <w:pBdr/>
        <w:spacing w:before="240" w:after="240" w:line="240" w:lineRule="auto"/>
        <w:ind w:left="0" w:right="0"/>
        <w:jc w:val="left"/>
      </w:pPr>
      <w:r>
        <w:rPr>
          <w:color w:val="000000"/>
          <w:sz w:val="24"/>
          <w:szCs w:val="24"/>
        </w:rPr>
        <w:t xml:space="preserve">A novel Priority Biased Fusion algorithm is introduced to optimize sensor data fusion by prioritizing inputs based on context. This approach mimics human decision-making to enhance AV responsiveness and reduce computational overhead. Simulation results demonstrate improved performance compared to traditional models.</w:t>
      </w:r>
    </w:p>
    <w:p>
      <w:pPr>
        <w:widowControl w:val="on"/>
        <w:pBdr/>
        <w:spacing w:before="240" w:after="240" w:line="240" w:lineRule="auto"/>
        <w:ind w:left="0" w:right="0"/>
        <w:jc w:val="left"/>
      </w:pPr>
      <w:r>
        <w:rPr>
          <w:color w:val="000000"/>
          <w:sz w:val="24"/>
          <w:szCs w:val="24"/>
        </w:rPr>
        <w:t xml:space="preserve">The study also compares AV sensors with human drivers, revealing that while sensors provide consistent accuracy and 360-degree awareness, humans excel in intuition and adaptability. Achieving seamless AV integration requires advancements in sensor fusion, risk mitigation, and a balance between machine precision and human cognitive capabilities.</w:t>
      </w:r>
    </w:p>
    <w:p>
      <w:pPr>
        <w:widowControl w:val="on"/>
        <w:pBdr/>
        <w:spacing w:before="240" w:after="240" w:line="240" w:lineRule="auto"/>
        <w:ind w:left="0" w:right="0"/>
        <w:jc w:val="left"/>
      </w:pPr>
      <w:r>
        <w:rPr>
          <w:color w:val="000000"/>
          <w:sz w:val="24"/>
          <w:szCs w:val="24"/>
        </w:rPr>
        <w:t xml:space="preserve">This research underscores the importance of developing robust sensor systems and algorithms to address current challenges, paving the way for safer and more efficient autonomous vehicles. Future work includes minimizing sensor redundancies, improving adverse weather performance, and integrating large-scale datasets for further validation.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61047">
    <w:multiLevelType w:val="hybridMultilevel"/>
    <w:lvl w:ilvl="0" w:tplc="34286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61047">
    <w:abstractNumId w:val="28261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492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