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CSESZKÓ EDINA</w:t>
            </w:r>
          </w:p>
          <w:p w:rsidR="00C275A3" w:rsidRDefault="00CA6B74" w:rsidP="00C275A3">
            <w:pPr>
              <w:pStyle w:val="Hallgatokepzes"/>
            </w:pPr>
            <w:r w:rsidRPr="001067CD">
              <w:rPr>
                <w:i/>
              </w:rPr>
              <w:t>cseszko.edina@gmail.com</w:t>
            </w:r>
            <w:r w:rsidRPr="001067CD">
              <w:rPr>
                <w:i/>
              </w:rPr>
              <w:br/>
            </w:r>
            <w:r w:rsidR="00A96AEC">
              <w:t>Biológia - természetismeret - környezettan</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Zsolt</w:t>
            </w:r>
          </w:p>
          <w:p w:rsidR="00DB4822" w:rsidRDefault="00DB4822" w:rsidP="00BA6BAF">
            <w:pPr>
              <w:pStyle w:val="Konzulensektitulus"/>
            </w:pPr>
            <w:r w:rsidRPr="00DB4822">
              <w:t>főiskolai docens, SZTE JGYPK</w:t>
            </w:r>
          </w:p>
        </w:tc>
      </w:tr>
      <w:tr w:rsidR="00DB4822" w:rsidTr="00DB4822">
        <w:tc>
          <w:tcPr>
            <w:tcW w:w="9854" w:type="dxa"/>
          </w:tcPr>
          <w:p w:rsidR="00DB4822" w:rsidRPr="00DB4822" w:rsidRDefault="00DB4822" w:rsidP="00BA6BAF">
            <w:pPr>
              <w:pStyle w:val="Konzulenseknev"/>
            </w:pPr>
            <w:r w:rsidRPr="00DB4822">
              <w:t>Dr. habil. Gálfi Márta</w:t>
            </w:r>
          </w:p>
          <w:p w:rsidR="00DB4822" w:rsidRDefault="00DB4822" w:rsidP="00BA6BAF">
            <w:pPr>
              <w:pStyle w:val="Konzulensektitulus"/>
            </w:pPr>
            <w:r w:rsidRPr="00DB4822">
              <w:t>főiskolai tanár,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hiponatrémia hatásai egészséges és transzformált adenohipofízis esetében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hiponatrémia; prolaktin; prolaktinoma</w:t>
      </w:r>
      <w:r>
        <w:t xml:space="preserve"/>
      </w:r>
    </w:p>
    <w:p>
      <w:pPr>
        <w:widowControl w:val="on"/>
        <w:pBdr/>
        <w:spacing w:before="240" w:after="240" w:line="240" w:lineRule="auto"/>
        <w:ind w:left="0" w:right="0"/>
        <w:jc w:val="left"/>
      </w:pPr>
      <w:r>
        <w:rPr>
          <w:color w:val="000000"/>
          <w:sz w:val="24"/>
          <w:szCs w:val="24"/>
        </w:rPr>
        <w:t xml:space="preserve">Az összetett rendszereket logikai kapcsolatok mentén szerveződő elemek fűzik egységgé. Az elemek kapcsolatai alrendszereket hoznak létre, ilyen logikai rendezőelvek mentén képezhetőek le biológiai rendszerek is, így pl. az endokrin rendszer. Az agyalapi mirigy elülső lebenye számos hormont szekretál. A laktotróf sejtek morfológiája és eloszlása jól leírt, amelyek a prolaktint (PRL) termelő sejtekként az elülső lebeny lateroventrális részében ritkán oszlanak el, és a közbülső lebeny melletti sávban dominánsabban vannak jelen. A külső és belső környezetből származó ingerek széles spektruma felelős a PRL felszabadulásáért. A prolaktinómák a leggyakoribb adenomák, amelyek az agyalapi mirigy elülső lebenyének laktotróf sejtjeiből származnak, jellemző rájuk a fokozott PRL kiválasztás. Különösen érdekes, hogy a Na</w:t>
      </w:r>
      <w:r>
        <w:rPr>
          <w:color w:val="000000"/>
          <w:position w:val="4"/>
          <w:sz w:val="21"/>
          <w:szCs w:val="21"/>
          <w:vertAlign w:val="superscript"/>
        </w:rPr>
        <w:t xml:space="preserve">+</w:t>
      </w:r>
      <w:r>
        <w:rPr>
          <w:color w:val="000000"/>
          <w:sz w:val="24"/>
          <w:szCs w:val="24"/>
        </w:rPr>
        <w:t xml:space="preserve"> koncentráció változása az extracelluláris környezetben milyen szerepet játszhat a hiperprolaktinémiában, mivel a Na</w:t>
      </w:r>
      <w:r>
        <w:rPr>
          <w:color w:val="000000"/>
          <w:position w:val="4"/>
          <w:sz w:val="21"/>
          <w:szCs w:val="21"/>
          <w:vertAlign w:val="superscript"/>
        </w:rPr>
        <w:t xml:space="preserve">+</w:t>
      </w:r>
      <w:r>
        <w:rPr>
          <w:color w:val="000000"/>
          <w:sz w:val="24"/>
          <w:szCs w:val="24"/>
        </w:rPr>
        <w:t xml:space="preserve"> egy generikus szignáltranszducer. Jelen munkában vizsgálni kívántuk az extracelluláris Na</w:t>
      </w:r>
      <w:r>
        <w:rPr>
          <w:color w:val="000000"/>
          <w:position w:val="4"/>
          <w:sz w:val="21"/>
          <w:szCs w:val="21"/>
          <w:vertAlign w:val="superscript"/>
        </w:rPr>
        <w:t xml:space="preserve">+</w:t>
      </w:r>
      <w:r>
        <w:rPr>
          <w:color w:val="000000"/>
          <w:sz w:val="24"/>
          <w:szCs w:val="24"/>
        </w:rPr>
        <w:t xml:space="preserve"> koncentrációváltozás, hiponatrémia PRL és adrenokortikotrop (ACTH) hormon elválasztásra gyakorolt hatását.</w:t>
      </w:r>
      <w:r>
        <w:rPr>
          <w:color w:val="000000"/>
          <w:sz w:val="24"/>
          <w:szCs w:val="24"/>
        </w:rPr>
        <w:br/>
        <w:t xml:space="preserve">Vizsgálatainkban ♀ Wistar patkányokat (n=5) öszton-actetáttal kezeltünk (150 μg/kg ts.kg./hét) 6 hónapon keresztül, szubkután, hogy prolaktinómát idézzünk elő. A kísérlet végpontjában primer, monolayer sejttenyészeteket készítettünk enzimatikus (tripszin: 0,2 %; kollagenáz: 30 μg/ml; diszpáz: 50 μg/ml) és mechanikus disszociáltatás útján (nylon blutex háló: ∅: 83 és 48 μm). A sejtdenzitást 2x105/cm</w:t>
      </w:r>
      <w:r>
        <w:rPr>
          <w:color w:val="000000"/>
          <w:position w:val="4"/>
          <w:sz w:val="21"/>
          <w:szCs w:val="21"/>
          <w:vertAlign w:val="superscript"/>
        </w:rPr>
        <w:t xml:space="preserve">3</w:t>
      </w:r>
      <w:r>
        <w:rPr>
          <w:color w:val="000000"/>
          <w:sz w:val="24"/>
          <w:szCs w:val="24"/>
        </w:rPr>
        <w:t xml:space="preserve">-re állítottuk be. A viabilitás kontrollt tripán-kék teszttel végeztük (viabilitás:&gt; 95%). A hormon release változásait hiponatrémiás körülmények között követtük ([Na</w:t>
      </w:r>
      <w:r>
        <w:rPr>
          <w:color w:val="000000"/>
          <w:position w:val="4"/>
          <w:sz w:val="21"/>
          <w:szCs w:val="21"/>
          <w:vertAlign w:val="superscript"/>
        </w:rPr>
        <w:t xml:space="preserve">+</w:t>
      </w:r>
      <w:r>
        <w:rPr>
          <w:color w:val="000000"/>
          <w:sz w:val="24"/>
          <w:szCs w:val="24"/>
        </w:rPr>
        <w:t xml:space="preserve">]: 0, 30, 60, 90 és 120 mM; n=10). A PRL tartalmat radioimmunoassay módszerrel, az ACTH tartalmat immuno-chemiluminescence assay módszerrel mértük. A teljes protein tartalom meghatározása módosított Lowry-módszerével történt. A statisztikai elemzést ANOVA-val végeztük.</w:t>
      </w:r>
      <w:r>
        <w:rPr>
          <w:color w:val="000000"/>
          <w:sz w:val="24"/>
          <w:szCs w:val="24"/>
        </w:rPr>
        <w:br/>
        <w:t xml:space="preserve">Megvizsgáltuk a hiponatrémia hatásait egészséges adenohipofízis és transzformált, prolaktinómás adenohipofízis PRL és ACTH hormonelválasztására. Szignifikáns eltéréseket tapasztaltunk minden kezelési időpontban (p &lt;0,001; n=5) a kontroll csoporthoz viszonyítva. A prolaktinómás adenohipofízis karakteresebb változás mutatott mind az ACTH, mind a PRL elválasztás tükrében. Megállapítható, hogy egyes bifozikai paraméterek, mint az extracelluláris Na</w:t>
      </w:r>
      <w:r>
        <w:rPr>
          <w:color w:val="000000"/>
          <w:position w:val="4"/>
          <w:sz w:val="21"/>
          <w:szCs w:val="21"/>
          <w:vertAlign w:val="superscript"/>
        </w:rPr>
        <w:t xml:space="preserve">+</w:t>
      </w:r>
      <w:r>
        <w:rPr>
          <w:color w:val="000000"/>
          <w:sz w:val="24"/>
          <w:szCs w:val="24"/>
        </w:rPr>
        <w:t xml:space="preserve"> milieu és a hormonvezikulák exocitózisa között szoros összefüggés lehet.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02533">
    <w:multiLevelType w:val="hybridMultilevel"/>
    <w:lvl w:ilvl="0" w:tplc="49238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02533">
    <w:abstractNumId w:val="91602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551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